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MinStG — Anwendung der Realisationsmethode</w:t>
      </w:r>
    </w:p>
    <w:p>
      <w:r>
        <w:rPr>
          <w:color w:val="555555"/>
          <w:sz w:val="18"/>
        </w:rPr>
        <w:t xml:space="preserve">Mindeststeuergesetz</w:t>
      </w:r>
    </w:p>
    <w:p>
      <w:r>
        <w:rPr>
          <w:color w:val="555555"/>
          <w:sz w:val="18"/>
        </w:rPr>
        <w:t xml:space="preserve">Stand: 28.12.2023 (konsolidierte Textfassung, kein amtliches Inkrafttretensdatum)</w:t>
      </w:r>
    </w:p>
    <w:p>
      <w:r>
        <w:t xml:space="preserve">(1) Auf Antrag der berichtspflichtigen Geschäftseinheit können Vermögenswerte und Schulden, die im Konzernabschluss zum beizulegenden Zeitwert erfasst oder bei denen Anpassungen aufgrund von Wertminderungstests vorgenommen worden sind, bei der Ermittlung des Mindeststeuer-Gewinns oder Mindeststeuer-Verlusts abweichend mit dem maßgeblichen Buchwert nach Absatz 2 angesetzt werden (Realisationsmethode). Aufwendungen und Erträge aus der Erfassung des beizulegenden Zeitwerts oder der Anwendung des Wertminderungstests im Sinne des Satzes 1 sind bei der Ermittlung des Mindeststeuer-Gewinns oder Mindeststeuer-Verlusts auszunehmen.</w:t>
      </w:r>
    </w:p>
    <w:p>
      <w:r>
        <w:t xml:space="preserve">(2) Maßgeblicher Buchwert ist der Buchwert, mit dem der Vermögenswert oder die Schuld zu Beginn des Geschäftsjahres, für das das Wahlrecht im Sinne des Absatzes 1 ausgeübt wird, im Jahresabschluss angesetzt worden ist. Bei Vermögenswerten und Schulden, die zu einem späteren Zeitpunkt erworben, hergestellt oder angefallen sind, sind die Anschaffungskosten, Herstellungskosten oder der Vereinnahmungsbetrag maßgebend.</w:t>
      </w:r>
    </w:p>
    <w:p>
      <w:r>
        <w:t xml:space="preserve">(3) Für die Ausübung des Wahlrechts nach Absatz 1 gilt § 77 Absatz 2; es ist für alle Vermögenswerte und Schulden aller Geschäftseinheiten, die in demselben Steuerhoheitsgebiet belegen sind, einheitlich auszuüben. Die Ausübung kann auf alle materiellen Vermögenswerte der Geschäftseinheiten oder auf alle Investmenteinheiten beschränkt werden.</w:t>
      </w:r>
    </w:p>
    <w:p>
      <w:r>
        <w:t xml:space="preserve">(4) Wird das Wahlrecht nach Maßgabe des § 77 Absatz 2 widerrufen, ist ein Unterschiedsbetrag zwischen dem beizulegenden Zeitwert, mit dem der Vermögenswert oder die Schuld zu Beginn des Geschäftsjahres, für das der Widerruf erfolgt, im Jahresabschluss angesetzt worden ist, und dem maßgeblichen Buchwert im Sinne des Absatzes 2 zu berücksichtigen.</w:t>
      </w:r>
    </w:p>
    <w:p>
      <w:r>
        <w:rPr>
          <w:color w:val="555555"/>
          <w:sz w:val="17"/>
        </w:rPr>
        <w:t xml:space="preserve">Zitiervorschlag: § 35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