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MinStG — Ausschluss von Aufwendungen bei fondsgebundenen Versicherungen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(1) Zuführungen einer Versicherungseinheit zu versicherungstechnischen Rückstellungen für fondsgebundene Versicherungen sind nicht abziehbar, soweit die Zuführungen in wirtschaftlichem Zusammenhang mit Erträgen stehen, die nach § 18 Nummer 2 in Verbindung mit § 20 zu kürzen sind. Satz 1 gilt nicht, soweit diese Erträge die Gebühren für die Anlagenverwaltung abdecken.</w:t>
      </w:r>
    </w:p>
    <w:p>
      <w:r>
        <w:t xml:space="preserve">(2) Zuführungen einer Versicherungseinheit zu versicherungstechnischen Rückstellungen für fondsgebundene Versicherungen sind nicht abziehbar, soweit die Zuführungen in wirtschaftlichem Zusammenhang mit Gewinnen stehen, die nach § 18 Nummer 3 in Verbindung mit § 21 zu kürzen sind.</w:t>
      </w:r>
    </w:p>
    <w:p>
      <w:r>
        <w:rPr>
          <w:color w:val="555555"/>
          <w:sz w:val="17"/>
        </w:rPr>
        <w:t xml:space="preserve">Zitiervorschlag: § 33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