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MinStG — Behandlung von Vergütungen auf besondere Instrumente bei Kreditinstituten und Versicherern</w:t>
      </w:r>
    </w:p>
    <w:p>
      <w:r>
        <w:rPr>
          <w:color w:val="555555"/>
          <w:sz w:val="18"/>
        </w:rPr>
        <w:t xml:space="preserve">Mindeststeuergesetz</w:t>
      </w:r>
    </w:p>
    <w:p>
      <w:r>
        <w:rPr>
          <w:color w:val="555555"/>
          <w:sz w:val="18"/>
        </w:rPr>
        <w:t xml:space="preserve">Stand: 28.12.2023 (konsolidierte Textfassung, kein amtliches Inkrafttretensdatum)</w:t>
      </w:r>
    </w:p>
    <w:p>
      <w:r>
        <w:t xml:space="preserve">Aufwendungen und Erträge auf Instrumente des zusätzlichen Kernkapitals von Kreditinstituten sind bei der Berechnung des Mindeststeuer-Gewinns oder Mindeststeuer-Verlusts erfolgswirksam zu behandeln. Ein Instrument des zusätzlichen Kernkapitals ist ein Instrument, das von einer Geschäftseinheit gemäß den bankenaufsichtsrechtlichen Anforderungen emittiert wird und das in hartes Kernkapital umzuwandeln oder herabzuschreiben ist, wenn ein in den für das Instrument einschlägigen aufsichtsrechtlichen Vorgaben festgelegtes Ereignis eintritt, und das weitere Merkmale aufweist, die die Verlustabsorption erleichtern sollen. Satz 1 ist auf Restricted-Tier-1-Instrumente von Versicherern entsprechend anzuwenden. Restricted-Tier-1-Instrument ist ein Instrument, das von einer Geschäftseinheit gemäß den versicherungsaufsichtsrechtlichen Anforderungen emittiert wird und das in Eigenkapital umzuwandeln oder herabzuschreiben ist, wenn ein in den für das Instrument einschlägigen aufsichtsrechtlichen Vorgaben festgelegtes Ereignis eintritt, und das andere Merkmale aufweist, die die Verlustabsorption erleichtern sollen.</w:t>
      </w:r>
    </w:p>
    <w:p>
      <w:r>
        <w:rPr>
          <w:color w:val="555555"/>
          <w:sz w:val="17"/>
        </w:rPr>
        <w:t xml:space="preserve">Zitiervorschlag: § 31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