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MinStG — Ausnahme für Gewinne oder Verluste aus dem internationalen Seeverkehr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Gewinne oder Verluste aus dem internationalen Seeverkehr, einschließlich anerkannter Neben- und Hilfsgeschäfte, werden bei der Ermittlung des Mindeststeuer-Gewinns oder Mindeststeuer-Verlusts nicht berücksichtigt, wenn die Geschäftseinheit nachweist, dass die strategische oder kaufmännische Geschäftsleitung sämtlicher betroffener Seeschiffe tatsächlich von dem Steuerhoheitsgebiet aus erfolgt, in dem die Geschäftseinheit belegen ist.</w:t>
      </w:r>
    </w:p>
    <w:p>
      <w:r>
        <w:t xml:space="preserve">(2) Absatz 1 gilt für Gewinne oder Verluste, die eine Geschäftseinheit aus den folgenden Tätigkeiten erzielt:</w:t>
      </w:r>
    </w:p>
    <w:p>
      <w:pPr>
        <w:ind w:left="420"/>
      </w:pPr>
      <w:r>
        <w:t xml:space="preserve">1. Beförderungsleistungen auf einem Seeschiff im internationalen Seeverkehr,</w:t>
      </w:r>
    </w:p>
    <w:p>
      <w:pPr>
        <w:ind w:left="420"/>
      </w:pPr>
      <w:r>
        <w:t xml:space="preserve">2. Beförderungsleistungen auf einem Seeschiff im internationalen Seeverkehr im Rahmen eines Slot-Charter-Vertrags,</w:t>
      </w:r>
    </w:p>
    <w:p>
      <w:pPr>
        <w:ind w:left="420"/>
      </w:pPr>
      <w:r>
        <w:t xml:space="preserve">3. Vermietung eines für die Beförderungsleistung im internationalen Seeverkehr eingesetzten, vollständig ausgerüsteten und bemannten Seeschiffs auf Charter-Basis,</w:t>
      </w:r>
    </w:p>
    <w:p>
      <w:pPr>
        <w:ind w:left="420"/>
      </w:pPr>
      <w:r>
        <w:t xml:space="preserve">4. Vermietung eines für die Beförderungsleistung im internationalen Seeverkehr eingesetzten Seeschiffs an eine andere Geschäftseinheit (Bareboat-Charter),</w:t>
      </w:r>
    </w:p>
    <w:p>
      <w:pPr>
        <w:ind w:left="420"/>
      </w:pPr>
      <w:r>
        <w:t xml:space="preserve">5. Beteiligung an einem Pool, einer Betriebsgemeinschaft oder einer internationalen Betriebsstelle für die Beförderungsleistung im internationalen Seeverkehr und</w:t>
      </w:r>
    </w:p>
    <w:p>
      <w:pPr>
        <w:ind w:left="420"/>
      </w:pPr>
      <w:r>
        <w:t xml:space="preserve">6. Verkauf eines Seeschiffs, welches mindestens ein Jahr für die Beförderungsleistung im internationalen Seeverkehr genutzt und von der Geschäftseinheit gehalten wurde.</w:t>
      </w:r>
    </w:p>
    <w:p>
      <w:r>
        <w:t xml:space="preserve">Satz 1 gilt nicht für Gewinne oder Verluste, die aus der Beförderung auf Binnenwasserstraßen in demselben Steuerhoheitsgebiet erzielt werden.</w:t>
      </w:r>
    </w:p>
    <w:p>
      <w:r>
        <w:t xml:space="preserve">(3) Neben- und Hilfsgeschäfte im Sinne dieses Paragraphen, wenn sie hauptsächlich im Zusammenhang mit Beförderungsleistungen mit Seeschiffen im internationalen Seeverkehr stehen, sind die folgenden Tätigkeiten:</w:t>
      </w:r>
    </w:p>
    <w:p>
      <w:pPr>
        <w:ind w:left="420"/>
      </w:pPr>
      <w:r>
        <w:t xml:space="preserve">1. Vermietung eines Seeschiffs an ein anderes Schifffahrtsunternehmen, das keine Geschäftseinheit ist, für einen Zeitraum von nicht mehr als drei Jahren (Bareboat-Charter-Basis),</w:t>
      </w:r>
    </w:p>
    <w:p>
      <w:pPr>
        <w:ind w:left="420"/>
      </w:pPr>
      <w:r>
        <w:t xml:space="preserve">2. Verkauf von durch andere Schifffahrtsunternehmen ausgestellten Fahrkarten für den inländischen Teil einer internationalen Fahrt,</w:t>
      </w:r>
    </w:p>
    <w:p>
      <w:pPr>
        <w:ind w:left="420"/>
      </w:pPr>
      <w:r>
        <w:t xml:space="preserve">3. Vermietung und kurzfristige Lagerung von Containern, einschließlich der Kompensationen für die verspätete Rückgabe von Containern,</w:t>
      </w:r>
    </w:p>
    <w:p>
      <w:pPr>
        <w:ind w:left="420"/>
      </w:pPr>
      <w:r>
        <w:t xml:space="preserve">4. Erbringung von Dienstleistungen für andere Schifffahrtsunternehmen durch Ingenieure, Wartungspersonal, Ladearbeiter, Bewirtungs- und Kundendienstpersonal und</w:t>
      </w:r>
    </w:p>
    <w:p>
      <w:pPr>
        <w:ind w:left="420"/>
      </w:pPr>
      <w:r>
        <w:t xml:space="preserve">5. Kapitalerträge, die aus Investitionen stammen, die für die Ausübung der Tätigkeit für den Betrieb von Seeschiffen im internationalen Seeverkehr erforderlich sind.</w:t>
      </w:r>
    </w:p>
    <w:p>
      <w:r>
        <w:t xml:space="preserve">Tätigkeiten im Sinne des Satzes 1 einer Geschäftseinheit setzen auch Tätigkeiten im Sinne des Absatzes 2 derselben Geschäftseinheit voraus.</w:t>
      </w:r>
    </w:p>
    <w:p>
      <w:r>
        <w:t xml:space="preserve">(4) Aufwendungen, die in unmittelbarem wirtschaftlichem Zusammenhang mit Tätigkeiten im Sinne des Absatzes 2 oder 3 stehen, sind direkt zuzuordnen. Aufwendungen, die nur in mittelbarem wirtschaftlichem Zusammenhang stehen, sind entsprechend dem Verhältnis der Umsatzerlöse der Geschäftseinheit aus diesen Tätigkeiten zu ihren Gesamtumsatzerlösen zuzuordnen.</w:t>
      </w:r>
    </w:p>
    <w:p>
      <w:r>
        <w:t xml:space="preserve">(5) Die Gewinne oder Verluste im Sinne des Absatzes 3 sind abweichend von Absatz 1 nicht auszunehmen, soweit sie insgesamt den Betrag von 50 Prozent der Gewinne oder Verluste nach Absatz 2 dieser Geschäftseinheiten in demselben Steuerhoheitsgebiet übersteigen.</w:t>
      </w:r>
    </w:p>
    <w:p>
      <w:r>
        <w:rPr>
          <w:color w:val="555555"/>
          <w:sz w:val="17"/>
        </w:rPr>
        <w:t xml:space="preserve">Zitiervorschlag: § 30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