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MinStG — Marktfähige und übertragbare steuerliche Zulagen</w:t>
      </w:r>
    </w:p>
    <w:p>
      <w:r>
        <w:rPr>
          <w:color w:val="555555"/>
          <w:sz w:val="18"/>
        </w:rPr>
        <w:t xml:space="preserve">Mindeststeuergesetz</w:t>
      </w:r>
    </w:p>
    <w:p>
      <w:r>
        <w:rPr>
          <w:color w:val="555555"/>
          <w:sz w:val="18"/>
        </w:rPr>
        <w:t xml:space="preserve">Stand: 03.01.2026 (konsolidierte Textfassung, kein amtliches Inkrafttretensdatum)</w:t>
      </w:r>
    </w:p>
    <w:p>
      <w:r>
        <w:t xml:space="preserve">(1) Soweit eine nicht anerkannte steuerliche Zulage vorliegt, gilt § 27 Absatz 1 Satz 1 und 2 entsprechend, wenn es sich um eine marktfähige und übertragbare steuerliche Zulage handelt. Überträgt der originär Anspruchsberechtigte die steuerliche Zulage innerhalb der in Absatz 3 Satz 2 Nummer 1 genannten Frist, ist abweichend von § 27 Absatz 1 nicht der Nennwert, sondern der Veräußerungspreis als Ertrag anzusetzen. Überträgt der originär Anspruchsberechtigte die steuerliche Zulage nach Ablauf der in Absatz 3 Satz 2 Nummer 1 genannten Frist, ist im Geschäftsjahr der Übertragung ein Verlust in Höhe der Differenz zwischen dem Nennwert der steuerlichen Zulage und dem Veräußerungspreis anzusetzen. Wenn die steuerliche Zulage ungenutzt ganz oder teilweise verfällt, ist ein Verlust in Höhe des Nennwertes der steuerlichen Zulage im Verfallszeitpunkt zu erfassen.</w:t>
      </w:r>
    </w:p>
    <w:p>
      <w:r>
        <w:t xml:space="preserve">(2) Eine marktfähige und übertragbare steuerliche Zulage ist beim Übertragungsempfänger in Höhe der Differenz zwischen dem Nennwert der steuerlichen Zulage und dem Kaufpreis als Ertrag anzusetzen, soweit die steuerliche Zulage im Geschäftsjahr zur Minderung der angepassten erfassten Steuern genutzt wird. Wird die steuerliche Zulage weiterübertragen, ist der Veräußerungsgewinn oder Veräußerungsverlust im Geschäftsjahr der Übertragung zu erfassen. Der Veräußerungsgewinn oder Veräußerungsverlust entspricht dem Verkaufspreis abzüglich des Kaufpreises und des Ertrags aus der Nutzung der steuerlichen Zulage.</w:t>
      </w:r>
    </w:p>
    <w:p>
      <w:r>
        <w:t xml:space="preserve">(3) Marktfähige und übertragbare steuerliche Zulagen sind Steuergutschriften, die im gewährenden Steuerhoheitsgebiet zur Minderung der Steuerschuld genutzt werden können. Eine steuerliche Zulage gilt als übertragbar:</w:t>
      </w:r>
    </w:p>
    <w:p>
      <w:pPr>
        <w:ind w:left="420"/>
      </w:pPr>
      <w:r>
        <w:t xml:space="preserve">1. Beim originär Anspruchsberechtigten, wenn dieser die steuerliche Zulage nach den rechtlichen Vorgaben des gewährenden Steuerhoheitsgebiets in dem Geschäftsjahr, in dem die Anspruchsvoraussetzungen erfüllt sind, oder innerhalb von 15 Monaten nach diesem Geschäftsjahr an unverbundene Personen übertragen kann.</w:t>
      </w:r>
    </w:p>
    <w:p>
      <w:pPr>
        <w:ind w:left="420"/>
      </w:pPr>
      <w:r>
        <w:t xml:space="preserve">2. Beim Übertragungsempfänger, wenn dieser die steuerliche Zulage nach den rechtlichen Vorgaben des gewährenden Steuerhoheitsgebiets in dem Geschäftsjahr des Erwerbs an unverbundene Personen weiterübertragen kann und diese Übertragung keinen weitergehenden rechtlichen Einschränkungen unterliegt als beim originär Anspruchsberechtigten.</w:t>
      </w:r>
    </w:p>
    <w:p>
      <w:r>
        <w:t xml:space="preserve">Eine steuerliche Zulage gilt als marktfähig:</w:t>
      </w:r>
    </w:p>
    <w:p>
      <w:pPr>
        <w:ind w:left="420"/>
      </w:pPr>
      <w:r>
        <w:t xml:space="preserve">1. Beim originär Anspruchsberechtigten, wenn die steuerliche Zulage innerhalb der in Satz 2 Nummer 1 genannten Frist an unverbundene Personen zu einem Preis übertragen wird, der mindestens dem Marktbasispreis entspricht. Dies gilt entsprechend, sofern die steuerliche Zulage nicht oder an verbundene Personen übertragen wird, wenn vergleichbare steuerliche Zulagen in demselben Zeitraum zwischen unverbundenen Personen mindestens zum Marktbasispreis gehandelt werden.</w:t>
      </w:r>
    </w:p>
    <w:p>
      <w:pPr>
        <w:ind w:left="420"/>
      </w:pPr>
      <w:r>
        <w:t xml:space="preserve">2. Beim Übertragungsempfänger, wenn dieser die steuerliche Zulage von einer unverbundenen Person mindestens zum Marktbasispreis erwirbt.</w:t>
      </w:r>
    </w:p>
    <w:p>
      <w:r>
        <w:t xml:space="preserve">Der Marktbasispreis nach Satz 3 entspricht 80 Prozent des Kapitalwerts der steuerlichen Zulage, wobei unterstellt wird, dass</w:t>
      </w:r>
    </w:p>
    <w:p>
      <w:pPr>
        <w:ind w:left="420"/>
      </w:pPr>
      <w:r>
        <w:t xml:space="preserve">1. der jährliche Zahlungsstrom unter den rechtlichen Vorgaben des gewährenden Steuerhoheitsgebiets maximal dem jedes Geschäftsjahr nutzbaren Betrag der steuerlichen Zulage entspricht und</w:t>
      </w:r>
    </w:p>
    <w:p>
      <w:pPr>
        <w:ind w:left="420"/>
      </w:pPr>
      <w:r>
        <w:t xml:space="preserve">2. der Diskontierungszinssatz dem Zins eines Schuldinstruments des die steuerliche Zulage gewährenden Steuerhoheitsgebietes mit einer Laufzeit von maximal fünf Geschäftsjahren beginnend mit dem Geschäftsjahr, in dem die steuerliche Zulage erstmals ganz oder teilweise nutzbar ist, entspricht; wird die steuerliche Zulage ratierlich über einen Zeitraum von weniger als fünf Geschäftsjahren gewährt, ist dieser Zeitraum bei der Bestimmung der Laufzeit des Schuldinstruments maßgeblich.</w:t>
      </w:r>
    </w:p>
    <w:p>
      <w:r>
        <w:t xml:space="preserve">(4) Für Zwecke des Absatzes 3 Satz 2 Nummer 1 gelten der originär Anspruchsberechtigte (Übertragender) und der Übertragungsempfänger als verbundene Personen, wenn der eine, mittelbar oder unmittelbar, zu 50 Prozent wert- oder stimmrechtsmäßig an dem anderen beteiligt ist oder eine andere Person jeweils an dem originär Anspruchsberechtigten und dem Übertragungsempfänger eine entsprechende Beteiligung hält. Besteht eine Kontrollbeteiligung, ist von einer Verbundenheit auszugehen.</w:t>
      </w:r>
    </w:p>
    <w:p>
      <w:r>
        <w:rPr>
          <w:color w:val="555555"/>
          <w:sz w:val="17"/>
        </w:rPr>
        <w:t xml:space="preserve">Zitiervorschlag: § 28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