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MinStG — Bilanzierungs- und Bewertungsfehler eines vorangegangenen Geschäftsjahres; Änderungen der Bilanzierungsvorschriften und Bewertungsmethoden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Änderungen des Eigenkapitals in der Bilanz der Geschäftseinheit zu Beginn des Geschäftsjahres, die zurückzuführen sind auf</w:t>
      </w:r>
    </w:p>
    <w:p>
      <w:pPr>
        <w:ind w:left="420"/>
      </w:pPr>
      <w:r>
        <w:t xml:space="preserve">1. eine Korrektur eines Fehlers bei der Ermittlung des Mindeststeuer-Jahresüberschusses oder Mindeststeuer-Jahresfehlbetrags eines vorangegangenen Geschäftsjahres, der sich auf die Höhe der im Mindeststeuer-Gewinn oder Mindeststeuer-Verlust erfassten Erträge oder Aufwendungen für dieses Geschäftsjahr ausgewirkt hatte, oder</w:t>
      </w:r>
    </w:p>
    <w:p>
      <w:pPr>
        <w:ind w:left="420"/>
      </w:pPr>
      <w:r>
        <w:t xml:space="preserve">2. eine Änderung der Bilanzierungsvorschriften oder Bewertungsmethoden, die sich auf die Höhe der im Mindeststeuer-Gewinn oder Mindeststeuer-Verlust ausgewiesenen Erträge oder Aufwendungen für dieses Geschäftsjahr ausgewirkt hat,</w:t>
      </w:r>
    </w:p>
    <w:p>
      <w:r>
        <w:t xml:space="preserve">stellen Bilanzierungs- und Bewertungsfehler eines vorangegangenen Geschäftsjahres sowie Änderungen der Bilanzierungsvorschriften und Bewertungsmethoden dar.</w:t>
      </w:r>
    </w:p>
    <w:p>
      <w:r>
        <w:t xml:space="preserve">(2) § 18 Nummer 8 findet keine Anwendung, soweit die Korrektur des Fehlers nach Absatz 1 Nummer 1 zu einer Minderung der nach § 52 geschuldeten erfassten Steuern führt.</w:t>
      </w:r>
    </w:p>
    <w:p>
      <w:r>
        <w:rPr>
          <w:color w:val="555555"/>
          <w:sz w:val="17"/>
        </w:rPr>
        <w:t xml:space="preserve">Zitiervorschlag: § 24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