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MinStG — Gewinne oder Verluste aus der Anwendung der Neubewertungsmethode auf Sachanlagen</w:t>
      </w:r>
    </w:p>
    <w:p>
      <w:r>
        <w:rPr>
          <w:color w:val="555555"/>
          <w:sz w:val="18"/>
        </w:rPr>
        <w:t xml:space="preserve">Mindeststeuergesetz</w:t>
      </w:r>
    </w:p>
    <w:p>
      <w:r>
        <w:rPr>
          <w:color w:val="555555"/>
          <w:sz w:val="18"/>
        </w:rPr>
        <w:t xml:space="preserve">Stand: 28.12.2023 (konsolidierte Textfassung, kein amtliches Inkrafttretensdatum)</w:t>
      </w:r>
    </w:p>
    <w:p>
      <w:r>
        <w:t xml:space="preserve">Gewinne oder Verluste aus der Anwendung der Neubewertungsmethode auf Sachanlagen entsprechen den Nettogewinnen oder Nettoverlusten, einschließlich damit im Zusammenhang stehender erfasster Steuern, des Geschäftsjahres aus Neubewertungen von Sachanlagen, deren Buchwerte nach den einschlägigen Bilanzierungs- und Bewertungsgrundsätzen regelmäßig an den beizulegenden Zeitwert angepasst werden, sofern diese Anpassungen im sonstigen Ergebnis abgebildet und die damit im Zusammenhang stehenden Gewinne und Verluste anschließend nicht erfolgswirksam erfasst werden.</w:t>
      </w:r>
    </w:p>
    <w:p>
      <w:r>
        <w:rPr>
          <w:color w:val="555555"/>
          <w:sz w:val="17"/>
        </w:rPr>
        <w:t xml:space="preserve">Zitiervorschlag: § 22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