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MinStG — Gewinne oder Verluste aus Eigenkapitalbeteiligungen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Ausgenommene Gewinne oder Verluste aus Eigenkapitalbeteiligungen sind im Mindeststeuer-Jahresüberschuss oder Mindeststeuer-Jahresfehlbetrag enthaltene</w:t>
      </w:r>
    </w:p>
    <w:p>
      <w:pPr>
        <w:ind w:left="420"/>
      </w:pPr>
      <w:r>
        <w:t xml:space="preserve">1. Gewinne und Verluste aus der Änderung des beizulegenden Zeitwerts und aus der Veräußerung von Schachtelbeteiligungen (§ 20 Absatz 1 Nummer 1) sowie</w:t>
      </w:r>
    </w:p>
    <w:p>
      <w:pPr>
        <w:ind w:left="420"/>
      </w:pPr>
      <w:r>
        <w:t xml:space="preserve">2. Gewinne und Verluste in Bezug auf Eigenkapitalbeteiligungen, die nach der Equity-Methode bilanziert werden.</w:t>
      </w:r>
    </w:p>
    <w:p>
      <w:r>
        <w:rPr>
          <w:color w:val="555555"/>
          <w:sz w:val="17"/>
        </w:rPr>
        <w:t xml:space="preserve">Zitiervorschlag: § 21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