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MinStG — Dividendenkürzungsbetrag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(1) Der Dividendenkürzungsbetrag setzt sich zusammen aus Dividenden oder anderen Gewinnausschüttungen aus Eigenkapitalbeteiligungen, wenn</w:t>
      </w:r>
    </w:p>
    <w:p>
      <w:pPr>
        <w:ind w:left="420"/>
      </w:pPr>
      <w:r>
        <w:t xml:space="preserve">1. von Geschäftseinheiten der Unternehmensgruppe zusammen eine Beteiligung von mindestens 10 Prozent am Gewinn, Kapital, an Rücklagen oder Stimmrechten der ausschüttenden Einheit zum Zeitpunkt der Ausschüttung besteht (Schachtelbeteiligungen) oder</w:t>
      </w:r>
    </w:p>
    <w:p>
      <w:pPr>
        <w:ind w:left="420"/>
      </w:pPr>
      <w:r>
        <w:t xml:space="preserve">2. die Eigenkapitalbeteiligungen zum Zeitpunkt der Ausschüttung für einen ununterbrochenen Zeitraum von mindestens zwölf Monaten von der Geschäftseinheit gehalten werden, die die Dividenden oder die anderen Gewinnausschüttungen empfängt (Langzeitbeteiligungen).</w:t>
      </w:r>
    </w:p>
    <w:p>
      <w:r>
        <w:t xml:space="preserve">(2) Absatz 1 gilt nicht für Dividenden oder andere Gewinnausschüttungen, wenn sie aus Anteilen an einer Investmenteinheit stammen, für die das Wahlrecht im Sinne des § 74 ausgeübt worden ist. Bei zusammengesetzten Finanzinstrumenten gilt Absatz 1 nur bezogen auf den Teil der Dividende oder anderen Gewinnausschüttung, der auf die Eigenkapitalkomponente des Instruments entfällt.</w:t>
      </w:r>
    </w:p>
    <w:p>
      <w:r>
        <w:rPr>
          <w:color w:val="555555"/>
          <w:sz w:val="17"/>
        </w:rPr>
        <w:t xml:space="preserve">Zitiervorschlag: § 20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