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MinStG — Umfang der Besteuerung</w:t>
      </w:r>
    </w:p>
    <w:p>
      <w:r>
        <w:rPr>
          <w:color w:val="555555"/>
          <w:sz w:val="18"/>
        </w:rPr>
        <w:t xml:space="preserve">Mindeststeuergesetz</w:t>
      </w:r>
    </w:p>
    <w:p>
      <w:r>
        <w:rPr>
          <w:color w:val="555555"/>
          <w:sz w:val="18"/>
        </w:rPr>
        <w:t xml:space="preserve">Stand: 28.12.2023 (konsolidierte Textfassung, kein amtliches Inkrafttretensdatum)</w:t>
      </w:r>
    </w:p>
    <w:p>
      <w:r>
        <w:t xml:space="preserve">Die Mindeststeuer umfasst den Primärergänzungssteuerbetrag nach den §§ 8 bis 10, den Sekundärergänzungssteuerbetrag nach den §§ 11 bis 14 sowie den nationalen Ergänzungssteuerbetrag nach den §§ 90 bis 93.</w:t>
      </w:r>
    </w:p>
    <w:p>
      <w:r>
        <w:rPr>
          <w:color w:val="555555"/>
          <w:sz w:val="17"/>
        </w:rPr>
        <w:t xml:space="preserve">Zitiervorschlag: § 2 MinStG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https://recht.nulegal.eu/gesetze/MinStG/2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