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19 MinStG — Gesamtsteueraufwand</w:t>
      </w:r>
    </w:p>
    <w:p>
      <w:r>
        <w:rPr>
          <w:color w:val="555555"/>
          <w:sz w:val="18"/>
        </w:rPr>
        <w:t xml:space="preserve">Mindeststeuergesetz</w:t>
      </w:r>
    </w:p>
    <w:p>
      <w:r>
        <w:rPr>
          <w:color w:val="555555"/>
          <w:sz w:val="18"/>
        </w:rPr>
        <w:t xml:space="preserve">Stand: 28.12.2023 (konsolidierte Textfassung, kein amtliches Inkrafttretensdatum)</w:t>
      </w:r>
    </w:p>
    <w:p>
      <w:r>
        <w:t xml:space="preserve">Gesamtsteueraufwand ist der positive oder negative Saldo aus</w:t>
      </w:r>
    </w:p>
    <w:p>
      <w:pPr>
        <w:ind w:left="420"/>
      </w:pPr>
      <w:r>
        <w:t xml:space="preserve">1. erfassten Steuern im Sinne des § 45, einschließlich erfasster latenter Steuern,</w:t>
      </w:r>
    </w:p>
    <w:p>
      <w:pPr>
        <w:ind w:left="420"/>
      </w:pPr>
      <w:r>
        <w:t xml:space="preserve">2. Steuern, die sich aus der Anwendung einer anerkannten nationalen Ergänzungssteuerregelung, einer anerkannten Primärergänzungssteuerregelung und einer anerkannten Sekundärergänzungssteuerregelung ergeben sowie</w:t>
      </w:r>
    </w:p>
    <w:p>
      <w:pPr>
        <w:ind w:left="420"/>
      </w:pPr>
      <w:r>
        <w:t xml:space="preserve">3. unzulässigen erstattungsfähigen Anrechnungssteuern.</w:t>
      </w:r>
    </w:p>
    <w:p>
      <w:r>
        <w:rPr>
          <w:color w:val="555555"/>
          <w:sz w:val="17"/>
        </w:rPr>
        <w:t xml:space="preserve">Zitiervorschlag: § 19 MinStG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https://recht.nulegal.eu/gesetze/MinStG/19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