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MinStG — Korrespondierende Einstufung von Finanzinstrumenten</w:t>
      </w:r>
    </w:p>
    <w:p>
      <w:r>
        <w:rPr>
          <w:color w:val="555555"/>
          <w:sz w:val="18"/>
        </w:rPr>
        <w:t xml:space="preserve">Mindeststeuergesetz</w:t>
      </w:r>
    </w:p>
    <w:p>
      <w:r>
        <w:rPr>
          <w:color w:val="555555"/>
          <w:sz w:val="18"/>
        </w:rPr>
        <w:t xml:space="preserve">Stand: 28.12.2023 (konsolidierte Textfassung, kein amtliches Inkrafttretensdatum)</w:t>
      </w:r>
    </w:p>
    <w:p>
      <w:r>
        <w:t xml:space="preserve">Die Einstufung eines Finanzinstruments als Eigenkapital oder Fremdkapital hat für den Emittenten und den Inhaber einheitlich zu erfolgen. Weicht die Einstufung auf der Grundlage des jeweils maßgebenden Rechnungslegungsstandards beim Emittenten und Inhaber voneinander ab, ist die Einstufung des Instruments beim Emittenten für den Inhaber bindend.</w:t>
      </w:r>
    </w:p>
    <w:p>
      <w:r>
        <w:rPr>
          <w:color w:val="555555"/>
          <w:sz w:val="17"/>
        </w:rPr>
        <w:t xml:space="preserve">Zitiervorschlag: § 17 MinStG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https://recht.nulegal.eu/gesetze/MinStG/17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