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MinStG — Mindeststeuer-Gewinn oder Mindeststeuer-Verlust</w:t>
      </w:r>
    </w:p>
    <w:p>
      <w:r>
        <w:rPr>
          <w:color w:val="555555"/>
          <w:sz w:val="18"/>
        </w:rPr>
        <w:t xml:space="preserve">Mindeststeuergesetz</w:t>
      </w:r>
    </w:p>
    <w:p>
      <w:r>
        <w:rPr>
          <w:color w:val="555555"/>
          <w:sz w:val="18"/>
        </w:rPr>
        <w:t xml:space="preserve">Stand: 03.01.2026 (konsolidierte Textfassung, kein amtliches Inkrafttretensdatum)</w:t>
      </w:r>
    </w:p>
    <w:p>
      <w:r>
        <w:t xml:space="preserve">(1) Der Mindeststeuer-Gewinn oder Mindeststeuer-Verlust ist der für Konsolidierungszwecke aus den Rechnungslegungsdaten der jeweiligen Geschäftseinheit abgeleitete und an konzerneinheitliche Ansatz- und Bewertungsregeln angeglichene Jahresüberschuss oder Jahresfehlbetrag vor Konsolidierungsanpassungen und Zwischenergebniseliminierungen (Mindeststeuer-Jahresüberschuss oder Mindeststeuer-Jahresfehlbetrag), korrigiert um die in § 18 bezeichneten Beträge. Auswirkungen aus der Anpassung des Buchwerts von Vermögenswerten und Schulden bei einer Geschäftseinheit, die aufgrund der Anwendung der Erwerbsmethode bei einem Beteiligungserwerb im Rahmen eines Unternehmenszusammenschlusses resultieren, dürfen nicht berücksichtigt werden. Satz 2 gilt nicht, wenn der Beteiligungserwerb vor dem 1. Dezember 2021 stattfand und es der Unternehmensgruppe nicht möglich ist, den Mindeststeuer-Jahresüberschuss oder Mindeststeuer-Jahresfehlbetrag ausgehend vom nicht angepassten Buchwert der beim Unternehmenszusammenschluss übernommenen Vermögensgegenstände und Schulden zu bestimmen.</w:t>
      </w:r>
    </w:p>
    <w:p>
      <w:r>
        <w:t xml:space="preserve">(2) Ist es im Einzelfall unverhältnismäßig, den Mindeststeuer-Jahresüberschuss oder Mindeststeuer-Jahresfehlbetrag einer Geschäftseinheit auf der Grundlage des für die Aufstellung des Konzernabschlusses der obersten Muttergesellschaft maßgeblichen Rechnungslegungsstandards zu ermitteln, kann auf Antrag der berichtspflichtigen Geschäftseinheit der Mindeststeuer-Jahresüberschuss oder Mindeststeuer-Jahresfehlbetrag der Geschäftseinheit für das Geschäftsjahr nach anderen anerkannten Rechnungslegungsstandards oder einem zugelassenen Rechnungslegungsstandard ermittelt werden, vorausgesetzt, dass</w:t>
      </w:r>
    </w:p>
    <w:p>
      <w:pPr>
        <w:ind w:left="420"/>
      </w:pPr>
      <w:r>
        <w:t xml:space="preserve">1. der Jahresabschluss der Geschäftseinheit auf Grundlage dieses Rechnungslegungsstandards aufgestellt wurde,</w:t>
      </w:r>
    </w:p>
    <w:p>
      <w:pPr>
        <w:ind w:left="420"/>
      </w:pPr>
      <w:r>
        <w:t xml:space="preserve">2. die im Jahresabschluss enthaltenen Informationen ordnungsgemäß sind und</w:t>
      </w:r>
    </w:p>
    <w:p>
      <w:pPr>
        <w:ind w:left="420"/>
      </w:pPr>
      <w:r>
        <w:t xml:space="preserve">3. permanente Differenzen, sofern sie aggregiert mehr als 1 Million Euro betragen und aus den verwendeten Bilanzierungs- und Bewertungsvorschriften bestimmter Ertrags- oder Aufwandspositionen oder Transaktionen des Rechnungslegungsstandards der Geschäftseinheit resultieren, so angepasst werden, dass sie den Bilanzierungs- und Bewertungsvorschriften der obersten Muttergesellschaft entsprechen.</w:t>
      </w:r>
    </w:p>
    <w:p>
      <w:r>
        <w:rPr>
          <w:color w:val="555555"/>
          <w:sz w:val="17"/>
        </w:rPr>
        <w:t xml:space="preserve">Zitiervorschlag: § 15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