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MinStG — Besonderheiten bei transparenten Einheiten</w:t>
      </w:r>
    </w:p>
    <w:p>
      <w:r>
        <w:rPr>
          <w:color w:val="555555"/>
          <w:sz w:val="18"/>
        </w:rPr>
        <w:t xml:space="preserve">Mindeststeuergesetz</w:t>
      </w:r>
    </w:p>
    <w:p>
      <w:r>
        <w:rPr>
          <w:color w:val="555555"/>
          <w:sz w:val="18"/>
        </w:rPr>
        <w:t xml:space="preserve">Stand: 28.12.2023 (konsolidierte Textfassung, kein amtliches Inkrafttretensdatum)</w:t>
      </w:r>
    </w:p>
    <w:p>
      <w:r>
        <w:t xml:space="preserve">(1) Für die Zuordnung der Beschäftigten im Sinne des § 12 Absatz 2 und der materiellen Vermögenswerte im Sinne des § 12 Absatz 3 zu den Betriebsstätten einer transparenten Einheit sind die Grundsätze von § 43 Absatz 1 und 2 für Zwecke des § 12 nicht anzuwenden.</w:t>
      </w:r>
    </w:p>
    <w:p>
      <w:r>
        <w:t xml:space="preserve">(2) Die Beschäftigten und materiellen Vermögenswerte einer transparenten Einheit, die keiner Betriebsstätte zugeordnet werden können, sind anderen Geschäftseinheiten der Unternehmensgruppe zuzuordnen, die in dem Steuerhoheitsgebiet belegen sind, in dem die transparente Einheit gegründet worden ist. Sofern auch keine Zuordnung zu Geschäftseinheiten nach Satz 1 erfolgen kann, bleiben die Beschäftigten und materiellen Vermögenswerte bei der Ermittlung der Inlandsquote im Sinne des § 12 Absatz 1 Satz 2 unberücksichtigt.</w:t>
      </w:r>
    </w:p>
    <w:p>
      <w:r>
        <w:rPr>
          <w:color w:val="555555"/>
          <w:sz w:val="17"/>
        </w:rPr>
        <w:t xml:space="preserve">Zitiervorschlag: § 13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