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MinStG — Umfang der Besteuerung der Geschäftseinheit</w:t>
      </w:r>
    </w:p>
    <w:p>
      <w:r>
        <w:rPr>
          <w:color w:val="555555"/>
          <w:sz w:val="18"/>
        </w:rPr>
        <w:t xml:space="preserve">Mindeststeuergesetz</w:t>
      </w:r>
    </w:p>
    <w:p>
      <w:r>
        <w:rPr>
          <w:color w:val="555555"/>
          <w:sz w:val="18"/>
        </w:rPr>
        <w:t xml:space="preserve">Stand: 28.12.2023 (konsolidierte Textfassung, kein amtliches Inkrafttretensdatum)</w:t>
      </w:r>
    </w:p>
    <w:p>
      <w:r>
        <w:t xml:space="preserve">(1) Für jede nach § 1 steuerpflichtige Geschäftseinheit, ausgenommen Investmenteinheiten, entsteht in Höhe des ihr für das Geschäftsjahr nach Satz 3 zuzurechnenden Teils des Anteils der Bundesrepublik Deutschland am Gesamtbetrag der Steuererhöhungsbeträge nach § 12 ein Ergänzungssteuerbetrag (Sekundärergänzungssteuerbetrag). Der Gesamtbetrag der Steuererhöhungsbeträge im Sinne des Satzes 1 entspricht der Summe der für alle niedrig besteuerten Geschäftseinheiten der Unternehmensgruppe für das Geschäftsjahr berechneten Steuererhöhungsbeträge. Der der steuerpflichtigen Geschäftseinheit zuzurechnende Teil ist wie folgt zu ermitteln: [Abbildung] Der für eine niedrig besteuerte Geschäftseinheit nach Satz 3 berechnete Steuererhöhungsbetrag ist um den der obersten Muttergesellschaft sowie einer nachgeordneten Muttergesellschaft zuzurechnenden Anteil am Steuererhöhungsbetrag im Sinne des § 9 dieser niedrig besteuerten Geschäftseinheit zu reduzieren, der aufgrund einer anerkannten Primärergänzungssteuerregelung erhoben wird. § 12 gilt entsprechend.</w:t>
      </w:r>
    </w:p>
    <w:p>
      <w:r>
        <w:t xml:space="preserve">(2) Absatz 1 ist nicht anzuwenden, wenn alle die Eigenkapitalbeteiligung der obersten Muttergesellschaft an dieser niedrig besteuerten Geschäftseinheit vermittelnden Eigenkapitalbeteiligungen durch eine oder mehrere Muttergesellschaften gehalten werden, die für das betreffende Geschäftsjahr in Bezug auf diese niedrig besteuerte Geschäftseinheit einer anerkannten Primärergänzungssteuerregelung unterliegen.</w:t>
      </w:r>
    </w:p>
    <w:p>
      <w:r>
        <w:rPr>
          <w:color w:val="555555"/>
          <w:sz w:val="17"/>
        </w:rPr>
        <w:t xml:space="preserve">Zitiervorschlag: § 11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