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MinStG — Anwendungsvorschriften</w:t>
      </w:r>
    </w:p>
    <w:p>
      <w:r>
        <w:rPr>
          <w:color w:val="555555"/>
          <w:sz w:val="18"/>
        </w:rPr>
        <w:t xml:space="preserve">Mindeststeuergesetz</w:t>
      </w:r>
    </w:p>
    <w:p>
      <w:r>
        <w:rPr>
          <w:color w:val="555555"/>
          <w:sz w:val="18"/>
        </w:rPr>
        <w:t xml:space="preserve">Stand: 03.01.2026 (konsolidierte Textfassung, kein amtliches Inkrafttretensdatum)</w:t>
      </w:r>
    </w:p>
    <w:p>
      <w:r>
        <w:t xml:space="preserve">(1) Diese Fassung des Gesetzes gilt, sofern im Folgenden nichts anderes bestimmt ist, erstmals für Geschäftsjahre, die nach dem 30. Dezember 2023 beginnen.</w:t>
      </w:r>
    </w:p>
    <w:p>
      <w:r>
        <w:t xml:space="preserve">(2) § 11 ist erstmals auf Geschäftsjahre anzuwenden, die nach dem 30. Dezember 2024 beginnen. Satz 1 gilt nicht für Unternehmensgruppen, deren oberste Muttergesellschaften in Mitgliedstaaten der Europäischen Union belegen sind, die die Option nach Artikel 50 Absatz 1 der Richtlinie (EU) 2022/2523 ausgeübt haben.</w:t>
      </w:r>
    </w:p>
    <w:p>
      <w:r>
        <w:t xml:space="preserve">(3) Für die Übergangszeit (§ 84 Absatz 1) findet § 98 Absatz 1 keine Anwendung, wenn nachgewiesen wird, dass angemessene Maßnahmen ergriffen wurden, die eine nicht rechtzeitige oder nicht in vorgeschriebener Weise oder eine nicht richtige oder nicht vollständige (§ 98 Absatz 1) Übermittlung rechtfertigen.</w:t>
      </w:r>
    </w:p>
    <w:p>
      <w:r>
        <w:t xml:space="preserve">(4) § 87b in der Fassung des Artikels 1 des Gesetzes vom 22. Dezember 2025 (BGBl. 2025 I Nr. 353) ist erstmals auf Geschäftsjahre anzuwenden, die nach dem 31. Dezember 2024 beginnen.</w:t>
      </w:r>
    </w:p>
    <w:p>
      <w:r>
        <w:rPr>
          <w:color w:val="555555"/>
          <w:sz w:val="17"/>
        </w:rPr>
        <w:t xml:space="preserve">Zitiervorschlag: § 101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https://recht.nulegal.eu/gesetze/MinStG/101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