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MinStBV</w:t>
      </w:r>
    </w:p>
    <w:p>
      <w:r>
        <w:rPr>
          <w:color w:val="555555"/>
          <w:sz w:val="18"/>
        </w:rPr>
        <w:t xml:space="preserve">Mindeststeuerdurchführungsverordnung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Das Bundesministerium der Finanzen verordnet aufgrund des § 99 Absatz 3 des Mindeststeuergesetzes vom 21. Dezember 2023 (BGBl. 2023 I Nr. 397), das durch Artikel 39 des Gesetzes vom 2. Dezember 2024 (BGBl. 2024 I Nr. 387) geändert worden ist:</w:t>
      </w:r>
    </w:p>
    <w:p>
      <w:r>
        <w:rPr>
          <w:color w:val="555555"/>
          <w:sz w:val="17"/>
        </w:rPr>
        <w:t xml:space="preserve">Zitiervorschlag: Eingangsformel MinStBV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