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MinStBV — Benennung der Steuerhoheitsgebiete</w:t>
      </w:r>
    </w:p>
    <w:p>
      <w:r>
        <w:rPr>
          <w:color w:val="555555"/>
          <w:sz w:val="18"/>
        </w:rPr>
        <w:t xml:space="preserve">Mindeststeuerdurchführungsverordnung</w:t>
      </w:r>
    </w:p>
    <w:p>
      <w:r>
        <w:rPr>
          <w:color w:val="555555"/>
          <w:sz w:val="18"/>
        </w:rPr>
        <w:t xml:space="preserve">Stand: 18.08.2026 (konsolidierte Textfassung, kein amtliches Inkrafttretensdatum)</w:t>
      </w:r>
    </w:p>
    <w:p>
      <w:r>
        <w:t xml:space="preserve">Die Anlage zu dieser Verordnung benennt die Steuerhoheitsgebiete nach § 99 Absatz 5 des Mindeststeuergesetzes. Erfasst werden Geschäftsjahre betroffener Unternehmensgruppen, die an dem in der Anlage in den Spalten B bis E ausgewiesenen Datum oder danach begonnen haben.</w:t>
      </w:r>
    </w:p>
    <w:p>
      <w:r>
        <w:rPr>
          <w:color w:val="555555"/>
          <w:sz w:val="17"/>
        </w:rPr>
        <w:t xml:space="preserve">Zitiervorschlag: § 8 MinStBV</w:t>
      </w:r>
    </w:p>
    <w:p>
      <w:r>
        <w:rPr>
          <w:color w:val="555555"/>
          <w:sz w:val="17"/>
        </w:rPr>
        <w:t xml:space="preserve">Quelle: Bundesamt für Justiz, abgerufen 18.08.2026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