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MinStBV — Vereinfachte Berichterstattung in der Übergangszeit</w:t>
      </w:r>
    </w:p>
    <w:p>
      <w:r>
        <w:rPr>
          <w:color w:val="555555"/>
          <w:sz w:val="18"/>
        </w:rPr>
        <w:t xml:space="preserve">Mindeststeuerdurchführungsverordnung</w:t>
      </w:r>
    </w:p>
    <w:p>
      <w:r>
        <w:rPr>
          <w:color w:val="555555"/>
          <w:sz w:val="18"/>
        </w:rPr>
        <w:t xml:space="preserve">Stand: 18.08.2026 (konsolidierte Textfassung, kein amtliches Inkrafttretensdatum)</w:t>
      </w:r>
    </w:p>
    <w:p>
      <w:r>
        <w:t xml:space="preserve">(1) Für Geschäftsjahre, die am oder vor dem 31. Dezember 2028 beginnen und vor dem 1. Juli 2030 enden, gelten die Regelungen der Absätze 2 bis 4.</w:t>
      </w:r>
    </w:p>
    <w:p>
      <w:r>
        <w:t xml:space="preserve">(2) In der Übergangszeit kann auf Antrag der berichtspflichtigen Geschäftseinheit für ein Steuerhoheitsgebiet eine vereinfachte Berichterstattung vorgenommen werden, wenn die Pflichten des Absatzes 3 erfüllt werden und der Steuererhöhungsbetrag</w:t>
      </w:r>
    </w:p>
    <w:p>
      <w:pPr>
        <w:ind w:left="420"/>
      </w:pPr>
      <w:r>
        <w:t xml:space="preserve">1. für dieses Steuerhoheitsgebiet null beträgt oder</w:t>
      </w:r>
    </w:p>
    <w:p>
      <w:pPr>
        <w:ind w:left="420"/>
      </w:pPr>
      <w:r>
        <w:t xml:space="preserve">2. nicht einzelnen Geschäftseinheiten oder im Fall eines Joint Ventures nicht einzelnen Joint-Venture-Tochtergesellschaften zugeordnet werden muss.</w:t>
      </w:r>
    </w:p>
    <w:p>
      <w:r>
        <w:t xml:space="preserve">Der Antrag nach Satz 1 ist für jeden Teil der Unternehmensgruppe, für den der effektive Steuersatz separat zu ermitteln ist, gesondert zu stellen.</w:t>
      </w:r>
    </w:p>
    <w:p>
      <w:r>
        <w:t xml:space="preserve">(3) Bei der vereinfachten Berichterstattung werden für den betreffenden Teil der Unternehmensgruppe im Mindeststeuer-Bericht die Informationen für jedes Steuerhoheitsgebiet auf aggregierter Basis und nicht für jede einzelne Geschäftseinheit oder jede einzelne Joint-Venture-Tochtergesellschaft berichtet. Sämtliche Hinzurechnungen und Kürzungen nach § 18 des Mindeststeuergesetzes können auf Nettobasis berichtet werden.</w:t>
      </w:r>
    </w:p>
    <w:p>
      <w:r>
        <w:t xml:space="preserve">(4) Um die vereinfachte Berichterstattung vornehmen zu können, müssen Unternehmensgruppen</w:t>
      </w:r>
    </w:p>
    <w:p>
      <w:pPr>
        <w:ind w:left="420"/>
      </w:pPr>
      <w:r>
        <w:t xml:space="preserve">1. eine Buchführung einsetzen, die eine steuerhoheitsgebietsbezogene Berichterstattung ermöglicht und die nach dem Mindeststeuergesetz erforderlichen Berechnungen genau und zuverlässig durchführt, einschließlich der Ermittlung des korrekten Belegenheitsstaats für jede Geschäftseinheit, sofern dies für die Berechnung des effektiven Steuersatzes und der Ergänzungssteuer relevant ist,</w:t>
      </w:r>
    </w:p>
    <w:p>
      <w:pPr>
        <w:ind w:left="420"/>
      </w:pPr>
      <w:r>
        <w:t xml:space="preserve">2. ein Verfahren einsetzen, das eine verlässliche Zuordnung der Rechnungslegungsdaten zu den einzelnen Steuerhoheitsgebieten ermöglicht und die Aggregation in den Konzernabschluss sicherstellt, und</w:t>
      </w:r>
    </w:p>
    <w:p>
      <w:pPr>
        <w:ind w:left="420"/>
      </w:pPr>
      <w:r>
        <w:t xml:space="preserve">3. ein Verfahren zur Identifizierung aller Mindeststeuer-relevanten Anpassungen in jedem Steuerhoheitsgebiet auf Basis von Einzelposten einsetzen, das ermöglicht, einzelne Posten der korrekten Geschäftseinheit zuzuordnen, wenn dies für die Genauigkeit der Hinzurechnungen und Kürzungen relevant ist.</w:t>
      </w:r>
    </w:p>
    <w:p>
      <w:r>
        <w:rPr>
          <w:color w:val="555555"/>
          <w:sz w:val="17"/>
        </w:rPr>
        <w:t xml:space="preserve">Zitiervorschlag: § 6 MinStBV</w:t>
      </w:r>
    </w:p>
    <w:p>
      <w:r>
        <w:rPr>
          <w:color w:val="555555"/>
          <w:sz w:val="17"/>
        </w:rPr>
        <w:t xml:space="preserve">Quelle: Bundesamt für Justiz, abgerufen 18.08.2026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