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MinStBV — Informationsaustausch; Verteilungsansatz</w:t>
      </w:r>
    </w:p>
    <w:p>
      <w:r>
        <w:rPr>
          <w:color w:val="555555"/>
          <w:sz w:val="18"/>
        </w:rPr>
        <w:t xml:space="preserve">Mindeststeuerdurchführungsverordnung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(1) Liegen die Voraussetzungen des § 75 Absatz 4 Satz 2 des Mindeststeuergesetzes vor, so erfolgt die Übermittlung des Mindeststeuer-Berichts an andere Steuerhoheitsgebiete im Wege des automatischen Austauschs.</w:t>
      </w:r>
    </w:p>
    <w:p>
      <w:r>
        <w:t xml:space="preserve">(2) Den allgemeinen Abschnitt erhalten sämtliche Umsetzungssteuerhoheitsgebiete, in denen entweder die oberste Muttergesellschaft oder Geschäftseinheiten der Unternehmensgruppe belegen sind.</w:t>
      </w:r>
    </w:p>
    <w:p>
      <w:r>
        <w:t xml:space="preserve">(3) Nur-NES-Steuerhoheitsgebiete erhalten den allgemeinen Abschnitt, mit Ausnahme der in Abschnitt 1.4 enthaltenen zusammenfassenden Übersicht, wenn</w:t>
      </w:r>
    </w:p>
    <w:p>
      <w:pPr>
        <w:ind w:left="420"/>
      </w:pPr>
      <w:r>
        <w:t xml:space="preserve">1. in ihnen Geschäftseinheiten belegen sind,</w:t>
      </w:r>
    </w:p>
    <w:p>
      <w:pPr>
        <w:ind w:left="420"/>
      </w:pPr>
      <w:r>
        <w:t xml:space="preserve">2. in ihnen Joint Ventures oder Joint-Venture-Tochtergesellschaften belegen sind, auf die eine nationale Ergänzungssteuer erhoben wird, oder</w:t>
      </w:r>
    </w:p>
    <w:p>
      <w:pPr>
        <w:ind w:left="420"/>
      </w:pPr>
      <w:r>
        <w:t xml:space="preserve">3. dort eine nationale Ergänzungssteuer auf staatenlose Geschäftseinheiten oder ein staatenloses Joint Venture erhoben wird.</w:t>
      </w:r>
    </w:p>
    <w:p>
      <w:r>
        <w:t xml:space="preserve">(4) Alle staatsbezogenen Abschnitte erhält das Umsetzungssteuerhoheitsgebiet, in dem die oberste Muttergesellschaft belegen ist. Diejenigen Steuerhoheitsgebiete, die Besteuerungsrechte nach einer anerkannten Primär- oder nach einer anerkannten Sekundärergänzungssteuerregelung oder nach einer anerkannten nationalen Ergänzungssteuer haben, erhalten zudem vorbehaltlich des Absatzes 5 die sie betreffenden staatsbezogenen Abschnitte.</w:t>
      </w:r>
    </w:p>
    <w:p>
      <w:r>
        <w:t xml:space="preserve">(5) Steuerhoheitsgebiete mit einem Besteuerungsrecht nach einer anerkannten Sekundärergänzungssteuerregelung und einem Anteil am Sekundärergänzungssteuerbetrag von null erhalten nur den SES-Abschnitt.</w:t>
      </w:r>
    </w:p>
    <w:p>
      <w:r>
        <w:rPr>
          <w:color w:val="555555"/>
          <w:sz w:val="17"/>
        </w:rPr>
        <w:t xml:space="preserve">Zitiervorschlag: § 5 MinStBV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