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MinStBV — Anwendungsbereich</w:t>
      </w:r>
    </w:p>
    <w:p>
      <w:r>
        <w:rPr>
          <w:color w:val="555555"/>
          <w:sz w:val="18"/>
        </w:rPr>
        <w:t xml:space="preserve">Mindeststeuerdurchführungsverordnung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(1) Abschnitt 2 dieser Verordnung regelt den automatischen Austausch von Informationen zu den Berichtspflichten nach dem Mindeststeuergesetz mit den Vertragsstaaten gemäß § 75 Absatz 4 des Mindeststeuergesetzes aufgrund der Richtlinie 2011/16/EU und die Besonderheiten beim Erstellen des Mindeststeuer-Berichts für berichtspflichtige Geschäftseinheiten.</w:t>
      </w:r>
    </w:p>
    <w:p>
      <w:r>
        <w:t xml:space="preserve">(2) Abschnitt 3 dieser Verordnung benennt die Steuerhoheitsgebiete nach § 99 Absatz 5 des Mindeststeuergesetzes.</w:t>
      </w:r>
    </w:p>
    <w:p>
      <w:r>
        <w:rPr>
          <w:color w:val="555555"/>
          <w:sz w:val="17"/>
        </w:rPr>
        <w:t xml:space="preserve">Zitiervorschlag: § 1 MinStBV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