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MinRohSorgG — Zwangsgeld</w:t>
      </w:r>
    </w:p>
    <w:p>
      <w:r>
        <w:rPr>
          <w:color w:val="555555"/>
          <w:sz w:val="18"/>
        </w:rPr>
        <w:t xml:space="preserve">Mineralische-Rohstoffe-Sorgfaltspflichten-Gesetz</w:t>
      </w:r>
    </w:p>
    <w:p>
      <w:r>
        <w:rPr>
          <w:color w:val="555555"/>
          <w:sz w:val="18"/>
        </w:rPr>
        <w:t xml:space="preserve">Stand: 07.05.2020 (konsolidierte Textfassung, kein amtliches Inkrafttretensdatum)</w:t>
      </w:r>
    </w:p>
    <w:p>
      <w:r>
        <w:t xml:space="preserve">Die Höhe des Zwangsgelds im Verwaltungszwangsverfahren der Bundesanstalt beträgt bis zu 50 000 Euro.</w:t>
      </w:r>
    </w:p>
    <w:p>
      <w:r>
        <w:rPr>
          <w:color w:val="555555"/>
          <w:sz w:val="17"/>
        </w:rPr>
        <w:t xml:space="preserve">Zitiervorschlag: § 9 MinRohSorgG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https://recht.nulegal.eu/gesetze/MinRohSorgG/9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