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MinRohSorgG — Betretensrechte, Mitwirkungs- und Duldungspflichten</w:t>
      </w:r>
    </w:p>
    <w:p>
      <w:r>
        <w:rPr>
          <w:color w:val="555555"/>
          <w:sz w:val="18"/>
        </w:rPr>
        <w:t xml:space="preserve">Mineralische-Rohstoffe-Sorgfaltspflichten-Gesetz</w:t>
      </w:r>
    </w:p>
    <w:p>
      <w:r>
        <w:rPr>
          <w:color w:val="555555"/>
          <w:sz w:val="18"/>
        </w:rPr>
        <w:t xml:space="preserve">Stand: 07.05.2020 (konsolidierte Textfassung, kein amtliches Inkrafttretensdatum)</w:t>
      </w:r>
    </w:p>
    <w:p>
      <w:r>
        <w:t xml:space="preserve">(1) Zur Durchführung der Aufgaben der Bundesanstalt dürfen die mit der Überwachung beauftragten Personen der Bundesanstalt sowie Personen und Einrichtungen, derer sich die Bundesanstalt zur Durchführung ihrer Aufgaben bedient,</w:t>
      </w:r>
    </w:p>
    <w:p>
      <w:pPr>
        <w:ind w:left="420"/>
      </w:pPr>
      <w:r>
        <w:t xml:space="preserve">1. Betriebsgrundstücke, Geschäftsräume, Wirtschaftsgebäude und Transportmittel der Unionseinführer während der Geschäfts- oder Betriebszeiten betreten und besichtigen sowie</w:t>
      </w:r>
    </w:p>
    <w:p>
      <w:pPr>
        <w:ind w:left="420"/>
      </w:pPr>
      <w:r>
        <w:t xml:space="preserve">2. geschäftliche Unterlagen und Aufzeichnungen der Unionseinführer einsehen, aus denen sich die Einhaltung der Sorgfaltspflichten nach den Artikeln 4 bis 7 der Verordnung (EU) 2017/821 ergibt oder ableiten lässt.</w:t>
      </w:r>
    </w:p>
    <w:p>
      <w:r>
        <w:t xml:space="preserve">(2) Die Unionseinführer haben die Maßnahmen zu dulden. Sie haben die Personen im Sinne des Absatzes 1 bei der Durchführung der Maßnahmen zu unterstützen.</w:t>
      </w:r>
    </w:p>
    <w:p>
      <w:r>
        <w:rPr>
          <w:color w:val="555555"/>
          <w:sz w:val="17"/>
        </w:rPr>
        <w:t xml:space="preserve">Zitiervorschlag: § 7 MinRohSorgG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https://recht.nulegal.eu/gesetze/MinRohSorgG/7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