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MinRohSorgG — Auskunftspflichten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(1) Unionseinführer und nach § 3 Absatz 3 Nummer 2 geladene Personen sind verpflichtet, der Bundesanstalt auf Verlangen die Auskünfte zu erteilen, die die Bundesanstalt zur Durchführung der ihr durch dieses Gesetz oder aufgrund dieses Gesetzes übertragenen Aufgaben benötigt.</w:t>
      </w:r>
    </w:p>
    <w:p>
      <w:r>
        <w:t xml:space="preserve">(2) Die zu erteilenden Auskünfte nach Absatz 1 umfassen insbesondere</w:t>
      </w:r>
    </w:p>
    <w:p>
      <w:pPr>
        <w:ind w:left="420"/>
      </w:pPr>
      <w:r>
        <w:t xml:space="preserve">1. die Angaben über die Erstellung einer Lieferkettenpolitik, die den Anforderungen nach Artikel 4 Buchstabe b der Verordnung (EU) 2017/821 entspricht,</w:t>
      </w:r>
    </w:p>
    <w:p>
      <w:pPr>
        <w:ind w:left="420"/>
      </w:pPr>
      <w:r>
        <w:t xml:space="preserve">2. die Namen der zur Überwachung der internen Prozesse zur Erfüllung der Sorgfaltspflichten in der Lieferkette nach Artikel 4 Buchstabe c der Verordnung (EU) 2017/821 benannten Personen,</w:t>
      </w:r>
    </w:p>
    <w:p>
      <w:pPr>
        <w:ind w:left="420"/>
      </w:pPr>
      <w:r>
        <w:t xml:space="preserve">3. die Art und Weise der Risikoermittlung,</w:t>
      </w:r>
    </w:p>
    <w:p>
      <w:pPr>
        <w:ind w:left="420"/>
      </w:pPr>
      <w:r>
        <w:t xml:space="preserve">4. vorhandene Beschwerdemechanismen und Frühwarnsysteme zur Risikoerkennung,</w:t>
      </w:r>
    </w:p>
    <w:p>
      <w:pPr>
        <w:ind w:left="420"/>
      </w:pPr>
      <w:r>
        <w:t xml:space="preserve">5. die konkrete Risikobewertung einschließlich der Grundlagen dieser Risikobewertung,</w:t>
      </w:r>
    </w:p>
    <w:p>
      <w:pPr>
        <w:ind w:left="420"/>
      </w:pPr>
      <w:r>
        <w:t xml:space="preserve">6. die Strategien zur Verhinderung, Minimierung und Beseitigung negativer Auswirkungen aus ermittelten Risiken,</w:t>
      </w:r>
    </w:p>
    <w:p>
      <w:pPr>
        <w:ind w:left="420"/>
      </w:pPr>
      <w:r>
        <w:t xml:space="preserve">7. die Systeme zur Rückverfolgbarkeit der Gewahrsams- und Lieferkette,</w:t>
      </w:r>
    </w:p>
    <w:p>
      <w:pPr>
        <w:ind w:left="420"/>
      </w:pPr>
      <w:r>
        <w:t xml:space="preserve">8. die Art und Weise, in der die Prüfungen der Einhaltung der Sorgfaltspflichten durch einen unabhängigen Dritten nach Artikel 6 der Verordnung (EU) 2017/821 durchgeführt werden sowie deren Inhalt und Ergebnis,</w:t>
      </w:r>
    </w:p>
    <w:p>
      <w:pPr>
        <w:ind w:left="420"/>
      </w:pPr>
      <w:r>
        <w:t xml:space="preserve">9. die Erfüllung der von Artikel 4 Buchstabe a, Artikel 5 Absatz 2 und Artikel 7 der Verordnung (EU) 2017/821 vorgegebenen Informations- und Offenlegungspflichten und</w:t>
      </w:r>
    </w:p>
    <w:p>
      <w:pPr>
        <w:ind w:left="420"/>
      </w:pPr>
      <w:r>
        <w:t xml:space="preserve">10. den Plan zur Umsetzung einer angeordneten Abhilfemaßnahme.</w:t>
      </w:r>
    </w:p>
    <w:p>
      <w:r>
        <w:t xml:space="preserve">(3) Wer zur Auskunft nach Absatz 1 verpflichtet ist, kann die Auskunft auf solche Fragen verweigern, deren Beantwortung ihn selbst oder einen der in § 383 Absatz 1 bis 3 der Zivilprozessordnung bezeichneten Angehörigen der Gefahr strafgerichtlicher Verfolgung oder eines Verfahrens nach dem Gesetz über Ordnungswidrigkeiten aussetzen würde. Sonstige gesetzliche Auskunfts- oder Aussageverweigerungsrechte sowie gesetzliche Verschwiegenheitspflichten bleiben unberührt.</w:t>
      </w:r>
    </w:p>
    <w:p>
      <w:r>
        <w:rPr>
          <w:color w:val="555555"/>
          <w:sz w:val="17"/>
        </w:rPr>
        <w:t xml:space="preserve">Zitiervorschlag: § 6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