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MinRohSorgG — Datenübermittlung durch die Bundesanstalt</w:t>
      </w:r>
    </w:p>
    <w:p>
      <w:r>
        <w:rPr>
          <w:color w:val="555555"/>
          <w:sz w:val="18"/>
        </w:rPr>
        <w:t xml:space="preserve">Mineralische-Rohstoffe-Sorgfaltspflichten-Gesetz</w:t>
      </w:r>
    </w:p>
    <w:p>
      <w:r>
        <w:rPr>
          <w:color w:val="555555"/>
          <w:sz w:val="18"/>
        </w:rPr>
        <w:t xml:space="preserve">Stand: 07.05.2020 (konsolidierte Textfassung, kein amtliches Inkrafttretensdatum)</w:t>
      </w:r>
    </w:p>
    <w:p>
      <w:r>
        <w:t xml:space="preserve">(1) Die Bundesanstalt übermittelt der Europäischen Kommission sowie den zuständigen Behörden anderer Mitgliedstaaten alle nach den Artikeln 13 und 18 der Verordnung (EU) 2017/821 vorgesehenen Informationen.</w:t>
      </w:r>
    </w:p>
    <w:p>
      <w:r>
        <w:t xml:space="preserve">(2) Die Bundesanstalt schützt im Rahmen des geltenden Rechts Betriebs- und Geschäftsgeheimnisse sowie personenbezogene Daten.</w:t>
      </w:r>
    </w:p>
    <w:p>
      <w:r>
        <w:t xml:space="preserve">(3) Für den Datenaustausch und die Datenerfassung, die zur Durchführung der Verordnung (EU) 2017/821 notwendig sind, kann die Bundesanstalt elektronische Systeme einsetzen.</w:t>
      </w:r>
    </w:p>
    <w:p>
      <w:r>
        <w:rPr>
          <w:color w:val="555555"/>
          <w:sz w:val="17"/>
        </w:rPr>
        <w:t xml:space="preserve">Zitiervorschlag: § 5 MinRohSorgG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https://recht.nulegal.eu/gesetze/MinRohSorgG/5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