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MinRohSorgG — Zuständige Behörde</w:t>
      </w:r>
    </w:p>
    <w:p>
      <w:r>
        <w:rPr>
          <w:color w:val="555555"/>
          <w:sz w:val="18"/>
        </w:rPr>
        <w:t xml:space="preserve">Mineralische-Rohstoffe-Sorgfaltspflichten-Gesetz</w:t>
      </w:r>
    </w:p>
    <w:p>
      <w:r>
        <w:rPr>
          <w:color w:val="555555"/>
          <w:sz w:val="18"/>
        </w:rPr>
        <w:t xml:space="preserve">Stand: 07.05.2020 (konsolidierte Textfassung, kein amtliches Inkrafttretensdatum)</w:t>
      </w:r>
    </w:p>
    <w:p>
      <w:r>
        <w:t xml:space="preserve">Zuständige Behörde im Sinne des Artikels 10 der Verordnung (EU) 2017/821 ist die Bundesanstalt für Geowissenschaften und Rohstoffe (Bundesanstalt).</w:t>
      </w:r>
    </w:p>
    <w:p>
      <w:r>
        <w:rPr>
          <w:color w:val="555555"/>
          <w:sz w:val="17"/>
        </w:rPr>
        <w:t xml:space="preserve">Zitiervorschlag: § 2 MinRohSorgG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https://recht.nulegal.eu/gesetze/MinRohSorgG/2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