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MinRohSorgG — Zeitliche Geltung</w:t>
      </w:r>
    </w:p>
    <w:p>
      <w:r>
        <w:rPr>
          <w:color w:val="555555"/>
          <w:sz w:val="18"/>
        </w:rPr>
        <w:t xml:space="preserve">Mineralische-Rohstoffe-Sorgfaltspflichten-Gesetz</w:t>
      </w:r>
    </w:p>
    <w:p>
      <w:r>
        <w:rPr>
          <w:color w:val="555555"/>
          <w:sz w:val="18"/>
        </w:rPr>
        <w:t xml:space="preserve">Stand: 07.05.2020 (konsolidierte Textfassung, kein amtliches Inkrafttretensdatum)</w:t>
      </w:r>
    </w:p>
    <w:p>
      <w:r>
        <w:t xml:space="preserve">Die §§ 3, 6, 7 und 9 sind erst ab dem 1. Januar 2021 anzuwenden.</w:t>
      </w:r>
    </w:p>
    <w:p>
      <w:r>
        <w:rPr>
          <w:color w:val="555555"/>
          <w:sz w:val="17"/>
        </w:rPr>
        <w:t xml:space="preserve">Zitiervorschlag: § 10 MinRohSorgG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https://recht.nulegal.eu/gesetze/MinRohSorgG/10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