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MinNettoV 2008</w:t>
      </w:r>
    </w:p>
    <w:p>
      <w:r>
        <w:rPr>
          <w:color w:val="555555"/>
          <w:sz w:val="18"/>
        </w:rPr>
        <w:t xml:space="preserve">Mindestnettobetrags-Verordnung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15 Satz 1 des Altersteilzeitgesetzes vom 23. Juli 1996 (BGBl. I S. 1078), der durch Artikel 95 Nr. 13 des Gesetzes vom 23. Dezember 2003 (BGBl. I S. 2848) neu gefasst und durch Artikel 234 der Verordnung vom 31. Oktober 2006 (BGBl. I S. 2407, 2007 I S. 2149) geändert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MinNettoV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https://recht.nulegal.eu/gesetze/MinNettoV%202008/eingangsformel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