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MinNettoV 2008</w:t>
      </w:r>
    </w:p>
    <w:p>
      <w:r>
        <w:rPr>
          <w:color w:val="555555"/>
          <w:sz w:val="18"/>
        </w:rPr>
        <w:t xml:space="preserve">Mindestnettobetrags-Verordnung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Die Mindestnettobeträge nach § 3 Abs. 1 Nr. 1 Buchstabe a des Altersteilzeitgesetzes in der bis zum 30. Juni 2004 gültigen Fassung ergeben sich aus der dieser Verordnung als Anlage beigefügten Tabelle.</w:t>
      </w:r>
    </w:p>
    <w:p>
      <w:r>
        <w:rPr>
          <w:color w:val="555555"/>
          <w:sz w:val="17"/>
        </w:rPr>
        <w:t xml:space="preserve">Zitiervorschlag: § 1 MinNettoV 2008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https://recht.nulegal.eu/gesetze/MinNettoV%202008/1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