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MinNettoV 2004</w:t>
      </w:r>
    </w:p>
    <w:p>
      <w:r>
        <w:rPr>
          <w:color w:val="555555"/>
          <w:sz w:val="18"/>
        </w:rPr>
        <w:t xml:space="preserve">Mindestnettobetrags-Verordnung 2004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Satz 1 Nr. 1 des Altersteilzeitgesetzes vom 23. Juli 1996 (BGBl. I S. 1078), der durch Artikel 1 Nr. 5 des Gesetzes vom 27. Juni 2000 (BGBl. I S. 910) neu gefasst worden ist, in Verbindung mit § 1 des Zuständigkeitsanpassungsgesetzes vom 16. August 2002 (BGBl. I S. 3165) und dem Organisationserlass vom 22. Oktober 2002 (BGBl. I S. 4206) verordnet das Bundesministerium für Wirtschaft und Arbeit:</w:t>
      </w:r>
    </w:p>
    <w:p>
      <w:r>
        <w:rPr>
          <w:color w:val="555555"/>
          <w:sz w:val="17"/>
        </w:rPr>
        <w:t xml:space="preserve">Zitiervorschlag: Eingangsformel MinNettoV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