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MinÖlDatG — Verordnungsermächtigung</w:t>
      </w:r>
    </w:p>
    <w:p>
      <w:r>
        <w:rPr>
          <w:color w:val="555555"/>
          <w:sz w:val="18"/>
        </w:rPr>
        <w:t xml:space="preserve">Mineralöldatengesetz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Wirtschaft und Energie wird ermächtigt, durch Rechtsverordnung die Meldepflichten nach § 3 Abs. 1 zu ändern oder auszuweiten, soweit es zur zeitnahen Erfassung von Erdöl und Erdölerzeugnissen nach Art und Menge für die in § 1 bestimmten Zwecke erforderlich ist.</w:t>
      </w:r>
    </w:p>
    <w:p>
      <w:r>
        <w:rPr>
          <w:color w:val="555555"/>
          <w:sz w:val="17"/>
        </w:rPr>
        <w:t xml:space="preserve">Zitiervorschlag: § 4 MinÖlDatG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https://recht.nulegal.eu/gesetze/Min%C3%96lDatG/4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