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MinÖlBewV 1988 — Inkrafttreten und Anwendbarkeit</w:t>
      </w:r>
    </w:p>
    <w:p>
      <w:r>
        <w:rPr>
          <w:color w:val="555555"/>
          <w:sz w:val="18"/>
        </w:rPr>
        <w:t xml:space="preserve">Mineralölbewirtschaftungs-Verordnung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Sie darf gemäß § 2 Abs. 1 des Wirtschaftssicherstellungsgesetzes nur nach Maßgabe des Artikels 80a des Grundgesetzes und erst dann angewandt werden, wenn es das Bundesministerium für Wirtschaft und Energie durch Rechtsverordnung bestimmt.</w:t>
      </w:r>
    </w:p>
    <w:p>
      <w:r>
        <w:t xml:space="preserve">(3) § 9 Abs. 2 und 5 ist mit dem Inkrafttreten anwendbar.</w:t>
      </w:r>
    </w:p>
    <w:p>
      <w:r>
        <w:rPr>
          <w:color w:val="555555"/>
          <w:sz w:val="17"/>
        </w:rPr>
        <w:t xml:space="preserve">Zitiervorschlag: § 11 MinÖlBewV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https://recht.nulegal.eu/gesetze/Min%C3%96lBewV%201988/11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MinÖlBewV 1988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