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MinÖlAV</w:t>
      </w:r>
    </w:p>
    <w:p>
      <w:r>
        <w:rPr>
          <w:color w:val="555555"/>
          <w:sz w:val="18"/>
        </w:rPr>
        <w:t xml:space="preserve">Mineralölausgleichs-Verordnung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Nr. 2 und des § 2 Abs. 1 in Verbindung mit § 3 Abs. 1 des Energiesicherungsgesetzes 1975 vom 20. Dezember 1974 (BGBl. I S. 3681)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MinÖlAV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