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MinÖlAV — Verpflichtung zur Einhaltung der Vertriebsstruktur</w:t>
      </w:r>
    </w:p>
    <w:p>
      <w:r>
        <w:rPr>
          <w:color w:val="555555"/>
          <w:sz w:val="18"/>
        </w:rPr>
        <w:t xml:space="preserve">Mineralölausgleichs-Verordnung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1 Abs. 1 genannten Unternehmen sind verpflichtet, ihren Abnehmern der nachgelagerten Handelsstufe die jeweils aus dem monatlichen Aufkommen verfügbaren Mengen an den in § 1 Abs. 1 genannten Mineralölprodukten bis zur Höhe der um den jeweiligen Verbrauchseinschränkungssatz gekürzten Referenzmenge (§ 2 Abs. 5) anteilig entsprechend der Abnahmestruktur im Vergleichszeitraum anzubieten. Die Konditionen dieser Angebote haben den Anforderungen des § 19 Absatz 1 in Verbindung mit Absatz 2 Nummer 1 und § 20 Absatz 1 des Gesetzes gegen Wettbewerbsbeschränkungen zu entsprechen.</w:t>
      </w:r>
    </w:p>
    <w:p>
      <w:r>
        <w:rPr>
          <w:color w:val="555555"/>
          <w:sz w:val="17"/>
        </w:rPr>
        <w:t xml:space="preserve">Zitiervorschlag: § 5 MinÖlAV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