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MinÖlAV — Ordnungswidrigkeiten</w:t>
      </w:r>
    </w:p>
    <w:p>
      <w:r>
        <w:rPr>
          <w:color w:val="555555"/>
          <w:sz w:val="18"/>
        </w:rPr>
        <w:t xml:space="preserve">Mineralölausgleichs-Verordnung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15 Abs. 1 Nr. 1 des Energiesicherungsgesetzes 1975 handelt, wer vorsätzlich oder fahrlässig</w:t>
      </w:r>
    </w:p>
    <w:p>
      <w:pPr>
        <w:ind w:left="420"/>
      </w:pPr>
      <w:r>
        <w:t xml:space="preserve">1. einer vollziehbaren Verfügung nach § 6 Abs. 1 Satz 1 oder Abs. 5, § 7 Satz 1 oder § 9 Abs. 1 zuwiderhandelt,</w:t>
      </w:r>
    </w:p>
    <w:p>
      <w:pPr>
        <w:ind w:left="420"/>
      </w:pPr>
      <w:r>
        <w:t xml:space="preserve">2. zur Begründung eines Antrags nach § 6 Abs. 2 Nr. 2 oder Abs. 5 Satz 1 oder § 7 Satz 2 unrichtige Angaben macht,</w:t>
      </w:r>
    </w:p>
    <w:p>
      <w:pPr>
        <w:ind w:left="420"/>
      </w:pPr>
      <w:r>
        <w:t xml:space="preserve">3. entgegen § 11 Abs. 1, 2, 3 oder 4 die geforderten Meldungen nicht, nicht richtig, nicht vollständig oder nicht rechtzeitig macht.</w:t>
      </w:r>
    </w:p>
    <w:p>
      <w:r>
        <w:rPr>
          <w:color w:val="555555"/>
          <w:sz w:val="17"/>
        </w:rPr>
        <w:t xml:space="preserve">Zitiervorschlag: § 12 MinÖlAV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https://recht.nulegal.eu/gesetze/Min%C3%96lAV/12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