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MilzbRbV</w:t>
      </w:r>
    </w:p>
    <w:p>
      <w:r>
        <w:rPr>
          <w:color w:val="555555"/>
          <w:sz w:val="18"/>
        </w:rPr>
        <w:t xml:space="preserve">Verordnung zum Schutz gegen den Milzbrand und den Rauschbrand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Wird bei Rindern Rauschbrand festgestellt oder liegt Verdacht auf Rauschbrand vor, so kann die zuständige Behörde die sinngemäße Anwendung der Schutzmaßregeln des Abschnitts 2 anordnen. Abschnitt 3 gilt entsprechend.</w:t>
      </w:r>
    </w:p>
    <w:p>
      <w:r>
        <w:rPr>
          <w:color w:val="555555"/>
          <w:sz w:val="17"/>
        </w:rPr>
        <w:t xml:space="preserve">Zitiervorschlag: § 9 MilzbRbV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https://recht.nulegal.eu/gesetze/MilzbRbV/9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