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MilzbRbV — Impfungen</w:t>
      </w:r>
    </w:p>
    <w:p>
      <w:r>
        <w:rPr>
          <w:color w:val="555555"/>
          <w:sz w:val="18"/>
        </w:rPr>
        <w:t xml:space="preserve">Verordnung zum Schutz gegen den Milzbrand und den Rauschbrand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Impfungen gegen Milzbrand sind verboten.</w:t>
      </w:r>
    </w:p>
    <w:p>
      <w:r>
        <w:t xml:space="preserve">(2) Die zuständige Behörde kann, sofern Belange der Seuchenbekämpfung nicht entgegenstehen, im Einzelfall Ausnahmen von Absatz 1 zulassen für</w:t>
      </w:r>
    </w:p>
    <w:p>
      <w:pPr>
        <w:ind w:left="420"/>
      </w:pPr>
      <w:r>
        <w:t xml:space="preserve">1. wissenschaftliche Versuche,</w:t>
      </w:r>
    </w:p>
    <w:p>
      <w:pPr>
        <w:ind w:left="420"/>
      </w:pPr>
      <w:r>
        <w:t xml:space="preserve">2. Impfungen, die für Exporttiere vom Einfuhrland gefordert werden,</w:t>
      </w:r>
    </w:p>
    <w:p>
      <w:pPr>
        <w:ind w:left="420"/>
      </w:pPr>
      <w:r>
        <w:t xml:space="preserve">3. Impfungen in Beständen, die einer besonderen Ansteckungsgefahr durch den Erreger des Milzbrandes ausgesetzt sind; dabei ist der zu verwendende Impfstoff zu benennen.</w:t>
      </w:r>
    </w:p>
    <w:p>
      <w:r>
        <w:t xml:space="preserve">(3) Die zuständige Behörde kann Impfungen gegen Milzbrand anordnen, wenn dies aus Gründen der Seuchenbekämpfung erforderlich ist.</w:t>
      </w:r>
    </w:p>
    <w:p>
      <w:r>
        <w:t xml:space="preserve">(4) Der Besitzer muß Tiere, die gegen Milzbrand geimpft worden sind, unverzüglich und deutlich sichtbar als geimpft kennzeichnen. Die zuständige Behörde kann Ausnahmen zulassen, wenn Belange der Seuchenbekämpfung nicht entgegenstehen.</w:t>
      </w:r>
    </w:p>
    <w:p>
      <w:r>
        <w:rPr>
          <w:color w:val="555555"/>
          <w:sz w:val="17"/>
        </w:rPr>
        <w:t xml:space="preserve">Zitiervorschlag: § 2 MilzbRbV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https://recht.nulegal.eu/gesetze/MilzbRbV/2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