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MilchtAusbStEignV — Inkrafttreten, Außerkrafttreten</w:t>
      </w:r>
    </w:p>
    <w:p>
      <w:r>
        <w:rPr>
          <w:color w:val="555555"/>
          <w:sz w:val="18"/>
        </w:rPr>
        <w:t xml:space="preserve">Verordnung über die Eignung der Ausbildungsstätte für die Berufsausbildung zum Milchtechnologen und zur Milchtechnologin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Verordnung über die Eignung der Ausbildungsstätte für die Berufsausbildung zum Molkereifachmann/zur Molkereifachfrau vom 31. Januar 1995 (BGBl. I S. 143) außer Kraft.</w:t>
      </w:r>
    </w:p>
    <w:p>
      <w:r>
        <w:rPr>
          <w:color w:val="555555"/>
          <w:sz w:val="17"/>
        </w:rPr>
        <w:t xml:space="preserve">Zitiervorschlag: § 3 MilchtAusbStEignV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https://recht.nulegal.eu/gesetze/MilchtAusbStEignV/3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