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MilchV — Verwendung von Vitaminen</w:t>
      </w:r>
    </w:p>
    <w:p>
      <w:r>
        <w:rPr>
          <w:color w:val="555555"/>
          <w:sz w:val="18"/>
        </w:rPr>
        <w:t xml:space="preserve">Milcherzeugnisverordnung</w:t>
      </w:r>
    </w:p>
    <w:p>
      <w:r>
        <w:rPr>
          <w:color w:val="555555"/>
          <w:sz w:val="18"/>
        </w:rPr>
        <w:t xml:space="preserve">Historische Fassung: Stand 09.06.2021 bis 14.06.2026. Dies ist nicht die aktuelle Fassung.</w:t>
      </w:r>
    </w:p>
    <w:p>
      <w:r>
        <w:t xml:space="preserve">(1) Bei der Herstellung von Milcherzeugnissen dürfen die in Anlage 2 aufgeführten Vitamine für die dort bezeichneten Zwecke verwendet werden. Der Gehalt an den Vitaminen darf die in der Anlage 2 angegebenen Höchstmengen nicht überschreiten.</w:t>
      </w:r>
    </w:p>
    <w:p>
      <w:r>
        <w:t xml:space="preserve">(2) Milchstreichfetterzeugnisse im Sinne der Nummern 2 und 3 der Anlage 2 sind Milchstreichfette im Sinne des Abschnittes A Nummer 2 bis 4 der Anlage II des Anhangs VII der Verordnung (EU) Nr. 1308/2013 des Europäischen Parlaments und des Rates vom 17. Dezember 2013 über eine gemeinsame Marktorganisation für landwirtschaftliche Erzeugnisse und zur Aufhebung der Verordnungen (EWG) Nr. 922/72, (EWG) Nr. 234/79, (EG) Nr. 1037/2001 und (EG) Nr. 1234/2007 (ABl. L 347 vom 20.12.2013, S. 671; L 189 vom 27.6.2014, S. 261; L 130 vom 19.5.2016, S. 18; L 34 vom 9.2.2017, S. 41; L 106 vom 6.4.2020, S. 12), die zuletzt durch die Verordnung (EU) 2017/2393 (ABl. L 350 vom 29.12.2017, S. 15) geändert worden ist.</w:t>
      </w:r>
    </w:p>
    <w:p>
      <w:r>
        <w:t xml:space="preserve">(3) Die in Anlage 2 aufgeführten Vitamine dürfen auch zur Herstellung von beigegebenen Lebensmitteln verwendet werden.</w:t>
      </w:r>
    </w:p>
    <w:p>
      <w:r>
        <w:t xml:space="preserve">(4) Abweichend von § 16 Absatz 1 Satz 1 des Lebensmittel- und Bedarfsgegenständegesetzes besteht nicht die Verpflichtung, den Gehalt an den nach den Absätzen 1 und 3 verwendeten Vitaminen kenntlich zu machen. § 3 Absatz 2 Nummer 3 bleibt unberührt.</w:t>
      </w:r>
    </w:p>
    <w:p>
      <w:r>
        <w:rPr>
          <w:color w:val="555555"/>
          <w:sz w:val="17"/>
        </w:rPr>
        <w:t xml:space="preserve">Zitiervorschlag: § 5 MilchV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