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MilchV — Allgemeine Kennzeichnungsvorschriften</w:t>
      </w:r>
    </w:p>
    <w:p>
      <w:r>
        <w:rPr>
          <w:color w:val="555555"/>
          <w:sz w:val="18"/>
        </w:rPr>
        <w:t xml:space="preserve">Milcherzeugnisverordnung</w:t>
      </w:r>
    </w:p>
    <w:p>
      <w:r>
        <w:rPr>
          <w:color w:val="555555"/>
          <w:sz w:val="18"/>
        </w:rPr>
        <w:t xml:space="preserve">Historische Fassung: Stand 09.06.2021 bis 14.06.2026. Dies ist nicht die aktuelle Fassung.</w:t>
      </w:r>
    </w:p>
    <w:p>
      <w:r>
        <w:t xml:space="preserve">(1) Milcherzeugnisse dürfen nur in den Verkehr gebracht werden, wenn sie nach den Vorschriften dieser Verordnung gekennzeichnet sind.</w:t>
      </w:r>
    </w:p>
    <w:p>
      <w:r>
        <w:t xml:space="preserve">(2) Bei Milcherzeugnissen in Fertigpackungen im Sinne des § 42 Absatz 1 des Mess- und Eichgesetzes, die zur Abgabe an den Verbraucher bestimmt sind, sind anzugeben</w:t>
      </w:r>
    </w:p>
    <w:p>
      <w:pPr>
        <w:ind w:left="420"/>
      </w:pPr>
      <w:r>
        <w:t xml:space="preserve">1. die Verkehrsbezeichnung nach Maßgabe des Absatzes 3,</w:t>
      </w:r>
    </w:p>
    <w:p>
      <w:pPr>
        <w:ind w:left="420"/>
      </w:pPr>
      <w:r>
        <w:t xml:space="preserve">2. der Name oder die Firma und die Anschrift des Herstellers, des Verpackers oder eines in der Europäischen Union oder in einem Vertragsstaat des Abkommens über den Europäischen Wirtschaftsraum niedergelassenen Verkäufers,</w:t>
      </w:r>
    </w:p>
    <w:p>
      <w:pPr>
        <w:ind w:left="420"/>
      </w:pPr>
      <w:r>
        <w:t xml:space="preserve">3. das Verzeichnis der Zutaten nach Maßgabe der §§ 5 und 6 der Lebensmittel-Kennzeichnungsverordnung, ausgenommen bei Kondensmilcherzeugnissen und Trockenmilcherzeugnissen; bei Sauermilcherzeugnissen, Joghurterzeugnissen, Kefirerzeugnissen, Buttermilcherzeugnissen und Sahneerzeugnissen ist das Verzeichnis der Zutaten nur für andere Zutaten als die für die Herstellung notwendigen Milchinhaltsstoffe, Enzyme und Mikroorganismenkulturen erforderlich mit dem Hinweis, daß es sich nur um weitere Zutaten handelt; Zutaten der Anlage 3 der Lebensmittel-Kennzeichnungsverordnung sind stets anzugeben, es sei denn, die Verkehrsbezeichnung des Lebensmittels lässt auf das Vorhandensein der jeweiligen Zutat schließen,</w:t>
      </w:r>
    </w:p>
    <w:p>
      <w:pPr>
        <w:ind w:left="420"/>
      </w:pPr>
      <w:r>
        <w:t xml:space="preserve">4. das Mindesthaltbarkeitsdatum nach Maßgabe des § 7 der Lebensmittel-Kennzeichnungsverordnung; wird das Mindesthaltbarkeitsdatum mit dem Hinweis "gekühlt" angegeben, so ist es auf der Grundlage einer Bezugstemperatur von 10 Grad C zu berechnen,</w:t>
      </w:r>
    </w:p>
    <w:p>
      <w:pPr>
        <w:ind w:left="780"/>
      </w:pPr>
      <w:r>
        <w:t xml:space="preserve">a) sofern Milcherzeugnisse einer Wärmebehandlung nach Anhang III Abschnitt IX Kapitel II Teil II der Verordnung (EG) Nr. 853/2004 unterzogen wurden, die Angabe</w:t>
      </w:r>
    </w:p>
    <w:p>
      <w:pPr>
        <w:ind w:left="1140"/>
      </w:pPr>
      <w:r>
        <w:t xml:space="preserve">aa) "ultrahocherhitzt" bei einem Verfahren, das dem Verfahren nach Anhang III Abschnitt IX Kapitel II Teil II Nr. 1 Buchstabe b der Verordnung (EG) Nr. 853/2004 entspricht; bei ungezuckerten Kondensmilcherzeugnissen kann stattdessen die Bezeichnung "Ultrahocherhitzung" verwendet werden,</w:t>
      </w:r>
    </w:p>
    <w:p>
      <w:pPr>
        <w:ind w:left="1140"/>
      </w:pPr>
      <w:r>
        <w:t xml:space="preserve">bb) "wärmebehandelt" bei einer sonstigen Wärmebehandlung von mehr als 50 °C, ausgenommen eine einmalige Pasteurisierung bei Sahneerzeugnissen, die einem Verfahren nach Anhang III Abschnitt IX Kapitel II Teil II Nr. 1 Buchstabe a der Verordnung (EG) Nr. 853/2004 entspricht;</w:t>
      </w:r>
    </w:p>
    <w:p>
      <w:pPr>
        <w:ind w:left="780"/>
      </w:pPr>
      <w:r>
        <w:t xml:space="preserve">b) bei Milcherzeugnissen, die nicht wärmebehandelt wurden, ist eine Wärmebehandlung des zur Herstellung verwendeten Milcherzeugnisses nach Buchstabe a anzugeben, sofern dieses einer Wärmebehandlung unterzogen wurde.</w:t>
      </w:r>
    </w:p>
    <w:p>
      <w:pPr>
        <w:ind w:left="420"/>
      </w:pPr>
      <w:r>
        <w:t xml:space="preserve">6. zusätzlich die Angaben nach § 4 Abs. 1.</w:t>
      </w:r>
    </w:p>
    <w:p>
      <w:r>
        <w:t xml:space="preserve">(2a) (weggefallen)</w:t>
      </w:r>
    </w:p>
    <w:p>
      <w:r>
        <w:t xml:space="preserve">(2b) (weggefallen)</w:t>
      </w:r>
    </w:p>
    <w:p>
      <w:r>
        <w:t xml:space="preserve">(3) Die Verkehrsbezeichnung ist</w:t>
      </w:r>
    </w:p>
    <w:p>
      <w:pPr>
        <w:ind w:left="420"/>
      </w:pPr>
      <w:r>
        <w:t xml:space="preserve">1. bei Milcherzeugnissen der Standardsorten die entsprechende Bezeichnung nach Spalte 2 der Anlage 1 und</w:t>
      </w:r>
    </w:p>
    <w:p>
      <w:pPr>
        <w:ind w:left="420"/>
      </w:pPr>
      <w:r>
        <w:t xml:space="preserve">2. bei Milcherzeugnissen, die nicht den Voraussetzungen einer Standardsorte entsprechen, die Bezeichnung nach Spalte 1 Buchstabe a der Anlage 1; die Bezeichnung nach Spalte 1 Buchstabe a der Anlage 1 darf abweichend von Nummer 1 auch bei Standardsorten der Gruppen VII bis XII der Anlage 1 verwendet werden, wenn diese als Zutat bei der Kennzeichnung anderer Lebensmittel angegeben werden.</w:t>
      </w:r>
    </w:p>
    <w:p>
      <w:r>
        <w:t xml:space="preserve">(4) Bei Fertigpackungen, deren größte Einzelfläche weniger als 10 qcm beträgt, können die Angaben nach Absatz 2 Satz 1 Nr. 2 und 3 entfallen.</w:t>
      </w:r>
    </w:p>
    <w:p>
      <w:r>
        <w:t xml:space="preserve">(5) Für die Art und Weise der Kennzeichnung nach den Absätzen 2 und 2a sowie die Kennzeichnung der Nennfüllmenge nach § 43 Absatz 1 des Mess- und Eichgesetzes gilt § 3 Abs. 3 und 4 der Lebensmittel-Kennzeichnungsverordnung entsprechend. Die Angabe der Wärmebehandlung hat in engem räumlichen Zusammenhang mit jeder Angabe der Verkehrsbezeichnung zu erfolgen. Bei ungezuckerten Kondensmilcherzeugnissen und gezuckerten Kondensmilcherzeugnissen müssen die Angaben nach § 4 Abs. 1 Nr. 1 oder 2 und 4 Buchstabe a, bei Trockenmilcherzeugnissen die Angaben nach § 4 Abs. 1 Nr. 1 oder 2 und 5 Buchstabe d im gleichen Sichtfeld mit den Angaben nach Absatz 2 Satz 1 Nr. 1 und 4 stehen. Abweichend von Satz 1 brauchen bei ungezuckerten Kondensmilcherzeugnissen, gezuckerten Kondensmilcherzeugnissen und Trockenmilcherzeugnissen mit einem Stückgewicht von weniger als 20 Gramm, die in einer Sammelpackung in den Verkehr gebracht werden, die Angaben nach Absatz 2 Satz 1 Nummer 4 und 5 sowie nach § 4 Absatz 1 Nummer 1 oder 2, 4 und 5 nur auf der Sammelpackung angebracht zu werden.</w:t>
      </w:r>
    </w:p>
    <w:p>
      <w:r>
        <w:t xml:space="preserve">(6) Die Absätze 2 bis 5 gelten nicht für Milcherzeugnisse in Fertigpackungen, die in der Verkaufsstätte zur alsbaldigen Abgabe an den Verbraucher hergestellt und dort, jedoch nicht zur Selbstbedienung, abgegeben werden.</w:t>
      </w:r>
    </w:p>
    <w:p>
      <w:r>
        <w:t xml:space="preserve">(7) Bei Milcherzeugnissen, die unverpackt oder in Fertigpackungen im Sinne des Absatzes 6 an Verbraucher abgegeben werden, sind auf einem Schild bei der Ware in deutscher Sprache deutlich sichtbar und in leicht lesbarer Schrift anzugeben</w:t>
      </w:r>
    </w:p>
    <w:p>
      <w:pPr>
        <w:ind w:left="420"/>
      </w:pPr>
      <w:r>
        <w:t xml:space="preserve">1. die Verkehrsbezeichnung nach Absatz 3,</w:t>
      </w:r>
    </w:p>
    <w:p>
      <w:pPr>
        <w:ind w:left="420"/>
      </w:pPr>
      <w:r>
        <w:t xml:space="preserve">2. die Angaben nach § 4 Abs. 1 Nr. 1 oder 2.</w:t>
      </w:r>
    </w:p>
    <w:p>
      <w:r>
        <w:t xml:space="preserve">Dies gilt nicht für Milcherzeugnisse, die unverpackt zum unmittelbaren Verzehr an Ort und Stelle abgegeben werden.</w:t>
      </w:r>
    </w:p>
    <w:p>
      <w:r>
        <w:rPr>
          <w:color w:val="555555"/>
          <w:sz w:val="17"/>
        </w:rPr>
        <w:t xml:space="preserve">Zitiervorschlag: § 3 MilchV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