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MilchSoPrG — Weitere Verordnungsermächtigungen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wird ermächtigt, um den Ergänzungsbetrag der Grünlandprämie und die Kuhprämie sachgerecht durchzuführen, durch Rechtsverordnung mit Zustimmung des Bundesrates Vorschriften zu erlassen über</w:t>
      </w:r>
    </w:p>
    <w:p>
      <w:pPr>
        <w:ind w:left="420"/>
      </w:pPr>
      <w:r>
        <w:t xml:space="preserve">1. das Verfahren,</w:t>
      </w:r>
    </w:p>
    <w:p>
      <w:pPr>
        <w:ind w:left="420"/>
      </w:pPr>
      <w:r>
        <w:t xml:space="preserve">2. die Überwachung der Einhaltung der Regelungen dieses Gesetzes sowie der auf Grund dieses Gesetzes erlassenen Rechtsverordnungen.</w:t>
      </w:r>
    </w:p>
    <w:p>
      <w:r>
        <w:t xml:space="preserve">(2) In Rechtsverordnungen nach Absatz 1 können Meldepflichten, Aufzeichnungspflichten, Pflichten zur Aufbewahrung von geschäftlichen Unterlagen, Pflichten zu Auskünften, zur Duldung von Besichtigungen der Geschäftsräume und Betriebsstätten sowie Unterstützungspflichten vorgeschrieben werden.</w:t>
      </w:r>
    </w:p>
    <w:p>
      <w:r>
        <w:rPr>
          <w:color w:val="555555"/>
          <w:sz w:val="17"/>
        </w:rPr>
        <w:t xml:space="preserve">Zitiervorschlag: § 9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