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MilchSoPrG — Zusätzliche Grünlandprämie</w:t>
      </w:r>
    </w:p>
    <w:p>
      <w:r>
        <w:rPr>
          <w:color w:val="555555"/>
          <w:sz w:val="18"/>
        </w:rPr>
        <w:t xml:space="preserve">Milch-Sonderprogrammgesetz</w:t>
      </w:r>
    </w:p>
    <w:p>
      <w:r>
        <w:rPr>
          <w:color w:val="555555"/>
          <w:sz w:val="18"/>
        </w:rPr>
        <w:t xml:space="preserve">Stand: 10.06.2019 (konsolidierte Textfassung, kein amtliches Inkrafttretensdatum)</w:t>
      </w:r>
    </w:p>
    <w:p>
      <w:r>
        <w:t xml:space="preserve">(1) Jedem Betriebsinhaber im Sinne des Artikels 2 Buchstabe a der Verordnung (EG) Nr. 73/2009, der</w:t>
      </w:r>
    </w:p>
    <w:p>
      <w:pPr>
        <w:ind w:left="420"/>
      </w:pPr>
      <w:r>
        <w:t xml:space="preserve">1. für Dezember 2009 nach dem § 26 Absatz 1 der Viehverkehrsverordnung eine Rinderhaltung mit der Nutzungsart Milchkuhhaltung angezeigt hat und</w:t>
      </w:r>
    </w:p>
    <w:p>
      <w:pPr>
        <w:ind w:left="420"/>
      </w:pPr>
      <w:r>
        <w:t xml:space="preserve">2. ausweislich der Angaben, die auf Grund von Rechtsvorschriften zur Kennzeichnung und Registrierung von Rindern oder auf Grund tierseuchenrechtlicher Vorschriften über die Anzeige und Registrierung von Betrieben erteilt worden sind, im Dezember des Jahres 2009 Kühe hält,</w:t>
      </w:r>
    </w:p>
    <w:p>
      <w:r>
        <w:t xml:space="preserve">wird von Amts wegen eine zusätzliche Grünlandprämie nach Maßgabe der Absätze 2 bis 4 gewährt. Im Falle des Satzes 1 Nummer 1 werden Anzeigen, die nach dem 31. Januar 2010 erfolgt sind, nicht berücksichtigt. Im Falle des Satzes 1 Nummer 2 werden die Kühe nicht berücksichtigt, für die am 31. Januar 2010 nicht alle Angaben vorliegen, die nach den in Satz 1 Nummer 2 bezeichneten Vorschriften hätten erteilt werden müssen.</w:t>
      </w:r>
    </w:p>
    <w:p>
      <w:r>
        <w:t xml:space="preserve">(2) Die zusätzliche Grünlandprämie erhält ein Betriebsinhaber,</w:t>
      </w:r>
    </w:p>
    <w:p>
      <w:pPr>
        <w:ind w:left="420"/>
      </w:pPr>
      <w:r>
        <w:t xml:space="preserve">1. soweit er im Jahr 2009 einen Sammelantrag gestellt hat, wobei eine zwischenzeitliche Änderung des Rechtsstatus oder der Bezeichnung in entsprechender Anwendung des Artikels 4 der Verordnung (EG) Nr. 1120/2009 berücksichtigt wird,</w:t>
      </w:r>
    </w:p>
    <w:p>
      <w:pPr>
        <w:ind w:left="780"/>
      </w:pPr>
      <w:r>
        <w:t xml:space="preserve">a) für seine im Sammelantrag angegebenen Grünlandflächen, die ihm am 15. Mai 2009 zur Verfügung gestanden haben, oder,</w:t>
      </w:r>
    </w:p>
    <w:p>
      <w:pPr>
        <w:ind w:left="780"/>
      </w:pPr>
      <w:r>
        <w:t xml:space="preserve">b) wenn ein Fall der Nummer 2 Buchstabe c vorliegt, für seine nach Nummer 2 Buchstabe c ermittelten anteiligen Grünlandflächen des Jahres 2009,</w:t>
      </w:r>
    </w:p>
    <w:p>
      <w:pPr>
        <w:ind w:left="420"/>
      </w:pPr>
      <w:r>
        <w:t xml:space="preserve">2. soweit er im Jahr 2009 keinen Sammelantrag gestellt hat und vor dem 1. Januar 2010</w:t>
      </w:r>
    </w:p>
    <w:p>
      <w:pPr>
        <w:ind w:left="780"/>
      </w:pPr>
      <w:r>
        <w:t xml:space="preserve">a) ein Betrieb durch Vererbung oder vorweggenommene Vererbung auf ihn übertragen worden ist, in entsprechender Anwendung des Artikels 3 der Verordnung (EG) Nr. 1120/2009,</w:t>
      </w:r>
    </w:p>
    <w:p>
      <w:pPr>
        <w:ind w:left="780"/>
      </w:pPr>
      <w:r>
        <w:t xml:space="preserve">b) durch einen Zusammenschluss im Sinne des Artikels 2 Buchstabe h der Verordnung (EG) Nr. 1120/2009 unter Beteiligung mindestens eines Betriebs, der im Jahr 2009 einen Sammelantrag gestellt hat, entstanden ist, in entsprechender Anwendung des Artikels 5 der Verordnung (EG) Nr. 1120/2009 oder</w:t>
      </w:r>
    </w:p>
    <w:p>
      <w:pPr>
        <w:ind w:left="780"/>
      </w:pPr>
      <w:r>
        <w:t xml:space="preserve">c) durch eine Aufteilung im Sinne des Artikels 2 Buchstabe i der Verordnung (EG) Nr. 1120/2009 aus einem Betrieb, der im Jahr 2009 einen Sammelantrag gestellt hat, entstanden ist, in entsprechender Anwendung des Artikels 5 der Verordnung (EG) Nr. 1120/2009, wobei die Anteile der beteiligten Betriebsinhaber an den im Sammelantrag angegebenen Grünlandflächen, die dem Inhaber des aufgeteilten Betriebs am 15. Mai 2009 zur Verfügung gestanden haben, nach Maßgabe des Anteils ihrer Kühe im Dezember 2009 an der Gesamtzahl der Kühe der beteiligten Betriebsinhaber berechnet werden.</w:t>
      </w:r>
    </w:p>
    <w:p>
      <w:r>
        <w:t xml:space="preserve">(3) Die zusätzliche Grünlandprämie wird für die nach Maßgabe der Sätze 2 und 3 berücksichtigungsfähigen Hektar Grünlandflächen gewährt. Berücksichtigungsfähig ist die Hektarzahl der Gründlandflächen, die sich daraus ergibt, dass je Kuh des nach Satz 3 maßgeblichen Kuhbestands des Betriebs drei Hektar Grünland zu Grunde gelegt werden, höchstens jedoch alle nach Absatz 2 zu berücksichtigenden Grünlandflächen des Betriebs. Kuhbestand ist die Zahl der Kühe, die im Dezember 2009 ausweislich der Angaben, die auf Grund von Rechtsvorschriften zur Kennzeichnung und Registrierung von Rindern oder auf Grund tierseuchenrechtlicher Vorschriften über die Anzeige und Registrierung von Betrieben erteilt worden sind, im Betrieb des Betriebsinhabers im arithmetischen Durchschnitt vorhanden sind. Nicht berücksichtigt werden Kühe, für die am 31. Januar 2010 nicht alle Angaben vorliegen, die nach den in Satz 1 bezeichneten Vorschriften hätten erteilt werden müssen.</w:t>
      </w:r>
    </w:p>
    <w:p>
      <w:r>
        <w:t xml:space="preserve">(4) Der Betrag der zusätzlichen Grünlandprämie je Hektar ergibt sich, indem der mit dem Faktor 0,97 multiplizierte Betrag, der Deutschland nach den in § 2 Absatz 1 Nummer 2 genannten Rechtsakten für die zusätzliche Grünlandprämie zur Verfügung steht, durch die Summe der Flächen geteilt wird, für die die zusätzliche Grünlandprämie zu gewähren ist. Die zuständigen Behörden teilen diese Summe dem Bundesministerium bis zum 30. April 2010 mit, um die Festsetzung des Betrags der zusätzlichen Grünlandprämie je Hektar zu ermöglichen. Das Bundesministerium macht den Betrag der zusätzlichen Grünlandprämie je Hektar im Bundesanzeiger bekannt.</w:t>
      </w:r>
    </w:p>
    <w:p>
      <w:r>
        <w:rPr>
          <w:color w:val="555555"/>
          <w:sz w:val="17"/>
        </w:rPr>
        <w:t xml:space="preserve">Zitiervorschlag: § 6 MilchSoPrG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https://recht.nulegal.eu/gesetze/MilchSoPrG/6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