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MilchSoPrG — Durchführung von Unionsrecht</w:t>
      </w:r>
    </w:p>
    <w:p>
      <w:r>
        <w:rPr>
          <w:color w:val="555555"/>
          <w:sz w:val="18"/>
        </w:rPr>
        <w:t xml:space="preserve">Milch-Sonderprogrammgesetz</w:t>
      </w:r>
    </w:p>
    <w:p>
      <w:r>
        <w:rPr>
          <w:color w:val="555555"/>
          <w:sz w:val="18"/>
        </w:rPr>
        <w:t xml:space="preserve">Stand: 10.06.2019 (konsolidierte Textfassung, kein amtliches Inkrafttretensdatum)</w:t>
      </w:r>
    </w:p>
    <w:p>
      <w:r>
        <w:t xml:space="preserve">(1) Dieses Gesetz dient</w:t>
      </w:r>
    </w:p>
    <w:p>
      <w:pPr>
        <w:ind w:left="420"/>
      </w:pPr>
      <w:r>
        <w:t xml:space="preserve">1. hinsichtlich des Grundbetrags der Grünlandprämie der Durchführung der Vorschriften über eine besondere Stützung nach dem Titel III Kapitel 5 der Verordnung (EG) Nr. 73/2009 des Rates vom 19. Januar 2009 mit gemeinsamen Regeln für Direktzahlungen im Rahmen der gemeinsamen Agrarpolitik und mit bestimmten Stützungsregelungen für Inhaber landwirtschaftlicher Betriebe und zur Änderung der Verordnungen (EG) Nr. 1290/2005, (EG) Nr. 247/2006, (EG) Nr. 378/2007 sowie zur Aufhebung der Verordnung (EG) Nr. 1782/2003 (ABl. L 30 vom 31. 1. 2009, S. 16) in der jeweils geltenden Fassung sowie der im Rahmen dieser Vorschriften und zu deren Durchführung erlassenen Rechtsakte der Europäischen Union,</w:t>
      </w:r>
    </w:p>
    <w:p>
      <w:pPr>
        <w:ind w:left="420"/>
      </w:pPr>
      <w:r>
        <w:t xml:space="preserve">2. hinsichtlich der zusätzlichen Grünlandprämie der Durchführung der auf der Grundlage des Artikels 186 der Verordnung (EG) Nr. 1234/2007 des Rates vom 22. Oktober 2007 über eine gemeinsame Organisation der Agrarmärkte und mit Sondervorschriften für bestimmte landwirtschaftliche Erzeugnisse (ABl. L 299 vom 16. 11. 2007, S. 1) in der jeweils geltenden Fassung erlassenen Rechtsakte der Europäischen Union betreffend eine aus dem Haushalt der Europäischen Union für das Haushaltsjahr 2010 finanzierten Maßnahme zugunsten des Sektors Milch und Milcherzeugnisse.</w:t>
      </w:r>
    </w:p>
    <w:p>
      <w:r>
        <w:t xml:space="preserve">(2) Dieses Gesetz ist hinsichtlich der in Absatz 1 bezeichneten Regelungen ein Gesetz im Sinne des § 1 Absatz 2 Nummer 4 des Marktorganisationsgesetzes mit den Maßgaben, dass</w:t>
      </w:r>
    </w:p>
    <w:p>
      <w:pPr>
        <w:ind w:left="420"/>
      </w:pPr>
      <w:r>
        <w:t xml:space="preserve">1. anwendbar nur die Vorschriften des Ersten und Zweiten Abschnitts und die §§ 33 und 36 des Marktorganisationsgesetzes sind, soweit sich diese jeweils auf die Gewährung besonderer Vergünstigungen beziehen,</w:t>
      </w:r>
    </w:p>
    <w:p>
      <w:pPr>
        <w:ind w:left="420"/>
      </w:pPr>
      <w:r>
        <w:t xml:space="preserve">2. Rechtsverordnungen auf Grund der in Nummer 1 bezeichneten Vorschriften stets der Zustimmung des Bundesrates bedürfen.</w:t>
      </w:r>
    </w:p>
    <w:p>
      <w:r>
        <w:rPr>
          <w:color w:val="555555"/>
          <w:sz w:val="17"/>
        </w:rPr>
        <w:t xml:space="preserve">Zitiervorschlag: § 2 MilchSoPrG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https://recht.nulegal.eu/gesetze/MilchSoPrG/2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