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MilchSoPrG — Bußgeldvorschriften</w:t>
      </w:r>
    </w:p>
    <w:p>
      <w:r>
        <w:rPr>
          <w:color w:val="555555"/>
          <w:sz w:val="18"/>
        </w:rPr>
        <w:t xml:space="preserve">Milch-Sonderprogrammgesetz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einer Rechtsverordnung nach § 7 Absatz 2 Satz 2 oder § 9 oder einer vollziehbaren Anordnung auf Grund einer solchen Rechtsverordnung zuwiderhandelt, soweit die Rechtsverordnung für einen bestimmten Tatbestand auf diese Bußgeldvorschrift verweist, oder</w:t>
      </w:r>
    </w:p>
    <w:p>
      <w:pPr>
        <w:ind w:left="420"/>
      </w:pPr>
      <w:r>
        <w:t xml:space="preserve">2. einer vollziehbaren Anordnung nach § 10 in Verbindung mit § 33 Absatz 1 Satz 1 oder Satz 2 des Marktorganisationsgesetzes zuwiderhandelt.</w:t>
      </w:r>
    </w:p>
    <w:p>
      <w:r>
        <w:t xml:space="preserve">(2) Die Ordnungswidrigkeit kann mit einer Geldbuße bis zu fünftausend Euro geahndet werden.</w:t>
      </w:r>
    </w:p>
    <w:p>
      <w:r>
        <w:rPr>
          <w:color w:val="555555"/>
          <w:sz w:val="17"/>
        </w:rPr>
        <w:t xml:space="preserve">Zitiervorschlag: § 11 MilchSoPrG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https://recht.nulegal.eu/gesetze/MilchSoPrG/11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