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MilchSoPrG — Weitere Bestimmungen zum Verwaltungsverfahren</w:t>
      </w:r>
    </w:p>
    <w:p>
      <w:r>
        <w:rPr>
          <w:color w:val="555555"/>
          <w:sz w:val="18"/>
        </w:rPr>
        <w:t xml:space="preserve">Milch-Sonderprogrammgesetz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nicht nach § 2 Absatz 2 das Marktorganisationsgesetz anzuwenden ist, gelten die §§ 10, 11, 14 und 33 Absatz 1 und 2 des Marktorganisationsgesetzes entsprechend.</w:t>
      </w:r>
    </w:p>
    <w:p>
      <w:r>
        <w:rPr>
          <w:color w:val="555555"/>
          <w:sz w:val="17"/>
        </w:rPr>
        <w:t xml:space="preserve">Zitiervorschlag: § 10 MilchSoPrG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https://recht.nulegal.eu/gesetze/MilchSoPrG/10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