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MilchQuotV — Überschussabgabe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nach der EU-Milchquotenregelung und unter Berücksichtigung der Vorschriften dieser Verordnung eine Überschussabgabe zu erheben ist, wird die Überschussabgabe</w:t>
      </w:r>
    </w:p>
    <w:p>
      <w:pPr>
        <w:ind w:left="420"/>
      </w:pPr>
      <w:r>
        <w:t xml:space="preserve">1. im Falle von Lieferungen im Sinne der EU-Milchquotenregelung (Anlieferungen) von jedem Milcherzeuger für die Milchmengen erhoben, die er an Käufer geliefert hat und seine Anlieferungsquote unter Berücksichtigung des zugehörigen Referenzfettgehaltes überschreiten, und</w:t>
      </w:r>
    </w:p>
    <w:p>
      <w:pPr>
        <w:ind w:left="420"/>
      </w:pPr>
      <w:r>
        <w:t xml:space="preserve">2. im Falle von Direktverkäufen von jedem Milcherzeuger für die Milch- und Milcherzeugnismengen erhoben, die er direkt verkauft hat und seine Direktverkaufsquote überschreiten.</w:t>
      </w:r>
    </w:p>
    <w:p>
      <w:r>
        <w:rPr>
          <w:color w:val="555555"/>
          <w:sz w:val="17"/>
        </w:rPr>
        <w:t xml:space="preserve">Zitiervorschlag: § 7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