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MilchQuotV — Einziehung und Zuteilung</w:t>
      </w:r>
    </w:p>
    <w:p>
      <w:r>
        <w:rPr>
          <w:color w:val="555555"/>
          <w:sz w:val="18"/>
        </w:rPr>
        <w:t xml:space="preserve">Milchquotenverordnung</w:t>
      </w:r>
    </w:p>
    <w:p>
      <w:r>
        <w:rPr>
          <w:color w:val="555555"/>
          <w:sz w:val="18"/>
        </w:rPr>
        <w:t xml:space="preserve">Stand: 10.06.2019 (konsolidierte Textfassung, kein amtliches Inkrafttretensdatum)</w:t>
      </w:r>
    </w:p>
    <w:p>
      <w:r>
        <w:t xml:space="preserve">(1) Ist in der EU-Milchquotenregelung oder in dieser Verordnung die Einziehung einer Quote vorgesehen, wird die betreffende Quote im Falle einer einzelbetrieblichen Quote für Lieferungen (Anlieferungsquote) in die jeweilige Landesreserve und im Falle einer einzelbetrieblichen Quote für Direktverkäufe (Direktverkaufsquote) in die Bundesreserve eingezogen, soweit in dieser Verordnung nichts anderes bestimmt ist.</w:t>
      </w:r>
    </w:p>
    <w:p>
      <w:r>
        <w:t xml:space="preserve">(2) Soweit Anlieferungsquoten aus einer Landesreserve nicht auf Grund besonderer Zuteilungsbestimmungen der EU-Milchquotenregelung oder dieser Verordnung zuzuteilen sind, stehen sie dem jeweiligen Land für eine Zuteilung im Rahmen der EU-Milchquotenregelung und dieser Verordnung zur Verfügung. Die nach Satz 1 Halbsatz 2 zur Verfügung stehenden Anlieferungsquoten sind zum linearen Ausgleich von in dem jeweiligen Land nach Anwendung des Kürzungssatzes bestehenden Nachfrageüberhängen im Sinne des § 18 Absatz 2 Satz 1 zu verwenden, soweit das Land keine anderweitige Zuteilung nach Maßgabe des Satzes 1 Halbsatz 2 vornimmt.</w:t>
      </w:r>
    </w:p>
    <w:p>
      <w:r>
        <w:t xml:space="preserve">(3) Soweit in dieser Verordnung nichts anderes bestimmt ist, obliegt die Zuteilung und Einziehung von Anlieferungsquoten sowie die Einziehung von Direktverkaufsquoten den zuständigen Landesstellen und die Zuteilung von Direktverkaufsquoten den Hauptzollämtern. Eine eingezogene Direktverkaufsquote überweist das Land der Bundesreserve.</w:t>
      </w:r>
    </w:p>
    <w:p>
      <w:r>
        <w:rPr>
          <w:color w:val="555555"/>
          <w:sz w:val="17"/>
        </w:rPr>
        <w:t xml:space="preserve">Zitiervorschlag: § 6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