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MilchQuotV — Aufhebung von Vorschriften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Milchabgabenverordnung vom 7. März 2007 (BGBl. I S. 295) wird aufgehoben, soweit nicht diese Verordnung die Fortgeltung einzelner Bestimmungen anordnet.</w:t>
      </w:r>
    </w:p>
    <w:p>
      <w:r>
        <w:t xml:space="preserve">(2) Soweit § 57 Absatz 2 der Milchabgabenverordnung in der in Absatz 1 genannten Fassung die Fortgeltung von Bestimmungen der Milch-Garantiemengen-Verordnung in der Fassung der Bekanntmachung vom 21. März 1994 (BGBl. I S. 586), zuletzt geändert durch die Verordnung vom 25. März 1996 (BGBl. I S. 535), anordnet, gelten diese Bestimmungen auch nach dieser Verordnung fort.</w:t>
      </w:r>
    </w:p>
    <w:p>
      <w:r>
        <w:rPr>
          <w:color w:val="555555"/>
          <w:sz w:val="17"/>
        </w:rPr>
        <w:t xml:space="preserve">Zitiervorschlag: § 58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