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MilchQuotV — Abweichung durch Landesrecht</w:t>
      </w:r>
    </w:p>
    <w:p>
      <w:r>
        <w:rPr>
          <w:color w:val="555555"/>
          <w:sz w:val="18"/>
        </w:rPr>
        <w:t xml:space="preserve">Milchquotenverordnung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Bestimmungen über das Verwaltungsverfahren in § 2 Absatz 2, §§ 3 und 12 Absatz 4, § 13 Absatz 3 Satz 1, § 14 Absatz 3, §§ 16 und 17 Absatz 5, §§ 19, 20 und 24 Absatz 4 sowie §§ 27, 28, 44 und 52 kann durch Landesrecht nicht abgewichen werden.</w:t>
      </w:r>
    </w:p>
    <w:p>
      <w:r>
        <w:rPr>
          <w:color w:val="555555"/>
          <w:sz w:val="17"/>
        </w:rPr>
        <w:t xml:space="preserve">Zitiervorschlag: § 56 MilchQuotV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https://recht.nulegal.eu/gesetze/MilchQuotV/56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