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MilchQuotV — Erhöhung von zeitweilig übertragenen Quoten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sich bei der nach § 53 Absatz 1 Satz 1 der Erhöhung jeweils zugrunde liegenden Quote um eine verpachtete oder anderweitig nur zeitweilig übertragene Quote handelt, verbleibt die nach § 53 Absatz 1 Satz 1 hinsichtlich einer solchen Quote zugewiesene Quote auch nach dem Ende der zeitweiligen Übertragung bei dem zeitweiligen Übernehmer. Satz 1 gilt nicht im Falle einer zeitweiligen Übertragung nach § 30.</w:t>
      </w:r>
    </w:p>
    <w:p>
      <w:r>
        <w:t xml:space="preserve">(2) Die Vertragsparteien der zeitweiligen Übertragung können eine dauerhafte Übertragung der nach Absatz 1 Satz 1 verbleibenden Quote auf den zeitweilig Übertragenden mit Wirkung ab dem Ende der zeitweiligen Übertragung schriftlich vereinbaren.</w:t>
      </w:r>
    </w:p>
    <w:p>
      <w:r>
        <w:rPr>
          <w:color w:val="555555"/>
          <w:sz w:val="17"/>
        </w:rPr>
        <w:t xml:space="preserve">Zitiervorschlag: § 55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